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986A5" w14:textId="77777777" w:rsidR="00FD7DA2" w:rsidRPr="00FD7DA2" w:rsidRDefault="00FD7DA2" w:rsidP="00FD7DA2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right="8765"/>
        <w:rPr>
          <w:lang w:val="fr-FR"/>
        </w:rPr>
      </w:pPr>
      <w:bookmarkStart w:id="0" w:name="_Hlk111056415"/>
      <w:bookmarkStart w:id="1" w:name="_Hlk111017962"/>
      <w:r w:rsidRPr="00FD7DA2">
        <w:rPr>
          <w:lang w:val="fr-FR"/>
        </w:rPr>
        <w:t xml:space="preserve">PC* 2025/ 2026 </w:t>
      </w:r>
    </w:p>
    <w:p w14:paraId="399F33D8" w14:textId="77777777" w:rsidR="00FD7DA2" w:rsidRPr="00FD7DA2" w:rsidRDefault="00FD7DA2" w:rsidP="00FD7DA2">
      <w:pPr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ind w:right="8765"/>
        <w:jc w:val="center"/>
        <w:rPr>
          <w:rFonts w:ascii="Brush Script MT" w:hAnsi="Brush Script MT"/>
          <w:sz w:val="36"/>
          <w:szCs w:val="36"/>
          <w:lang w:val="fr-FR"/>
        </w:rPr>
      </w:pPr>
      <w:r w:rsidRPr="00FD7DA2">
        <w:rPr>
          <w:rFonts w:ascii="Brush Script MT" w:hAnsi="Brush Script MT"/>
          <w:sz w:val="36"/>
          <w:szCs w:val="36"/>
          <w:lang w:val="fr-FR"/>
        </w:rPr>
        <w:t>Bellevue</w:t>
      </w:r>
    </w:p>
    <w:p w14:paraId="2B94BF62" w14:textId="77777777" w:rsidR="00FD7DA2" w:rsidRPr="00FD7DA2" w:rsidRDefault="00FD7DA2" w:rsidP="00FD7DA2">
      <w:pPr>
        <w:rPr>
          <w:lang w:val="fr-FR"/>
        </w:rPr>
      </w:pPr>
    </w:p>
    <w:p w14:paraId="4D2DAF0B" w14:textId="0E8DF96C" w:rsidR="006D5145" w:rsidRPr="00FD7DA2" w:rsidRDefault="00FD7DA2" w:rsidP="00723926">
      <w:pPr>
        <w:jc w:val="center"/>
        <w:rPr>
          <w:b/>
          <w:bCs/>
          <w:lang w:val="fr-FR"/>
        </w:rPr>
      </w:pPr>
      <w:r w:rsidRPr="00FD7DA2">
        <w:rPr>
          <w:b/>
          <w:bCs/>
          <w:lang w:val="fr-FR"/>
        </w:rPr>
        <w:t xml:space="preserve">DS de chimie </w:t>
      </w:r>
      <w:r>
        <w:rPr>
          <w:b/>
          <w:bCs/>
          <w:lang w:val="fr-FR"/>
        </w:rPr>
        <w:t xml:space="preserve">5 </w:t>
      </w:r>
      <w:r w:rsidRPr="00FD7DA2">
        <w:rPr>
          <w:b/>
          <w:bCs/>
          <w:lang w:val="fr-FR"/>
        </w:rPr>
        <w:t xml:space="preserve">  – </w:t>
      </w:r>
      <w:r>
        <w:rPr>
          <w:b/>
          <w:bCs/>
          <w:lang w:val="fr-FR"/>
        </w:rPr>
        <w:t xml:space="preserve">11 Mars </w:t>
      </w:r>
      <w:r w:rsidRPr="00FD7DA2">
        <w:rPr>
          <w:b/>
          <w:bCs/>
          <w:lang w:val="fr-FR"/>
        </w:rPr>
        <w:t xml:space="preserve"> </w:t>
      </w:r>
      <w:r w:rsidR="00723926">
        <w:rPr>
          <w:b/>
          <w:bCs/>
          <w:lang w:val="fr-FR"/>
        </w:rPr>
        <w:t xml:space="preserve"> /   </w:t>
      </w:r>
      <w:r>
        <w:rPr>
          <w:b/>
          <w:bCs/>
          <w:lang w:val="fr-FR"/>
        </w:rPr>
        <w:t>Chimie organique</w:t>
      </w:r>
      <w:bookmarkEnd w:id="0"/>
      <w:bookmarkEnd w:id="1"/>
    </w:p>
    <w:p w14:paraId="707CB547" w14:textId="77777777" w:rsidR="002D4646" w:rsidRDefault="002D4646" w:rsidP="002D4646">
      <w:pPr>
        <w:rPr>
          <w:rFonts w:eastAsia="Times New Roman"/>
          <w:i/>
          <w:color w:val="000000"/>
          <w:sz w:val="24"/>
          <w:szCs w:val="24"/>
          <w:lang w:val="fr-FR"/>
        </w:rPr>
      </w:pPr>
    </w:p>
    <w:p w14:paraId="70D3309D" w14:textId="7B4366CA" w:rsidR="002D4646" w:rsidRPr="002D4646" w:rsidRDefault="002D4646" w:rsidP="00FD7DA2">
      <w:pPr>
        <w:jc w:val="both"/>
        <w:rPr>
          <w:rFonts w:eastAsia="Times New Roman"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Les données utiles à la résolution du problème sont fournies à la fin de l’énoncé </w:t>
      </w:r>
    </w:p>
    <w:p w14:paraId="70FCE1CE" w14:textId="77777777" w:rsidR="002D4646" w:rsidRPr="002D4646" w:rsidRDefault="002D4646" w:rsidP="00FD7DA2">
      <w:pPr>
        <w:jc w:val="both"/>
        <w:rPr>
          <w:rFonts w:eastAsia="Times New Roman"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Pour l’écriture des mécanismes, le candidat pourra utiliser des notations simplifiées des molécules, lui permettant de se concentrer sur les groupes caractéristiques interagissant.</w:t>
      </w:r>
    </w:p>
    <w:p w14:paraId="0B2CE96A" w14:textId="77777777" w:rsidR="002D4646" w:rsidRDefault="002D4646" w:rsidP="002D4646">
      <w:pPr>
        <w:rPr>
          <w:rFonts w:eastAsia="Arial Narrow"/>
          <w:b/>
          <w:color w:val="000000"/>
          <w:sz w:val="24"/>
          <w:szCs w:val="24"/>
          <w:lang w:val="fr-FR"/>
        </w:rPr>
      </w:pPr>
    </w:p>
    <w:p w14:paraId="780346D4" w14:textId="77777777" w:rsidR="002D4646" w:rsidRDefault="002D4646" w:rsidP="002D4646">
      <w:pPr>
        <w:rPr>
          <w:rFonts w:eastAsia="Arial Narrow"/>
          <w:b/>
          <w:color w:val="000000"/>
          <w:sz w:val="24"/>
          <w:szCs w:val="24"/>
          <w:lang w:val="fr-FR"/>
        </w:rPr>
      </w:pPr>
    </w:p>
    <w:p w14:paraId="306F95E5" w14:textId="55033B35" w:rsidR="002D4646" w:rsidRPr="002D4646" w:rsidRDefault="002D4646" w:rsidP="002D4646">
      <w:pPr>
        <w:jc w:val="center"/>
        <w:rPr>
          <w:rFonts w:eastAsia="Arial Narrow"/>
          <w:b/>
          <w:color w:val="000000"/>
          <w:sz w:val="24"/>
          <w:szCs w:val="24"/>
          <w:lang w:val="fr-FR"/>
        </w:rPr>
      </w:pPr>
      <w:r w:rsidRPr="002D4646">
        <w:rPr>
          <w:rFonts w:eastAsia="Arial Narrow"/>
          <w:b/>
          <w:color w:val="000000"/>
          <w:sz w:val="24"/>
          <w:szCs w:val="24"/>
          <w:lang w:val="fr-FR"/>
        </w:rPr>
        <w:t>Synthèse stéréosélective de la (</w:t>
      </w:r>
      <w:proofErr w:type="gramStart"/>
      <w:r w:rsidRPr="002D4646">
        <w:rPr>
          <w:rFonts w:eastAsia="Arial Narrow"/>
          <w:b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Arial Narrow"/>
          <w:b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Arial Narrow"/>
          <w:b/>
          <w:color w:val="000000"/>
          <w:sz w:val="24"/>
          <w:szCs w:val="24"/>
          <w:lang w:val="fr-FR"/>
        </w:rPr>
        <w:t xml:space="preserve"> A</w:t>
      </w:r>
    </w:p>
    <w:p w14:paraId="43D647FC" w14:textId="77777777" w:rsidR="002D4646" w:rsidRPr="002D4646" w:rsidRDefault="002D4646" w:rsidP="002D4646">
      <w:pPr>
        <w:rPr>
          <w:rFonts w:eastAsia="Arial Narrow"/>
          <w:b/>
          <w:color w:val="000000"/>
          <w:sz w:val="24"/>
          <w:szCs w:val="24"/>
          <w:lang w:val="fr-FR"/>
        </w:rPr>
      </w:pPr>
    </w:p>
    <w:p w14:paraId="0E946791" w14:textId="6615608A" w:rsidR="002D4646" w:rsidRPr="002D4646" w:rsidRDefault="002D4646" w:rsidP="002D4646">
      <w:pPr>
        <w:jc w:val="both"/>
        <w:rPr>
          <w:rFonts w:eastAsia="Arial Narrow"/>
          <w:b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La (</w:t>
      </w:r>
      <w:proofErr w:type="gramStart"/>
      <w:r w:rsidRPr="002D4646">
        <w:rPr>
          <w:rFonts w:eastAsia="Times New Roman"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Times New Roman"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A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(Schéma 1) a été isolée de bouillons de culture d'une souche d'actinomycètes de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Nocardia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sp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MK703-102F1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et a montré une activité antimicrobienne forte et spécifique contre</w:t>
      </w:r>
      <w:r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Mycobacterium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sp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.</w:t>
      </w:r>
      <w:r w:rsidRPr="002D4646">
        <w:rPr>
          <w:rFonts w:eastAsia="Garamond"/>
          <w:i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Sa structure, qui a été déterminée par cristallographie de diffraction aux rayons X, est constituée d’une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macrolactone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(ester cyclique) à 16 chaînons fusionnée avec un squelette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trans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-décaline.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2</w:t>
      </w:r>
    </w:p>
    <w:p w14:paraId="6E55D10F" w14:textId="77777777" w:rsidR="002D4646" w:rsidRPr="002D4646" w:rsidRDefault="002D4646" w:rsidP="002D4646">
      <w:pPr>
        <w:jc w:val="center"/>
        <w:rPr>
          <w:sz w:val="24"/>
          <w:szCs w:val="24"/>
        </w:rPr>
      </w:pPr>
      <w:r w:rsidRPr="002D4646">
        <w:rPr>
          <w:noProof/>
          <w:sz w:val="24"/>
          <w:szCs w:val="24"/>
        </w:rPr>
        <w:drawing>
          <wp:inline distT="0" distB="0" distL="0" distR="0" wp14:anchorId="6007DF10" wp14:editId="29055490">
            <wp:extent cx="4742180" cy="1630680"/>
            <wp:effectExtent l="0" t="0" r="0" b="0"/>
            <wp:docPr id="3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163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20CCE" w14:textId="77777777" w:rsidR="002D4646" w:rsidRPr="002D4646" w:rsidRDefault="002D4646" w:rsidP="002D4646">
      <w:pPr>
        <w:jc w:val="center"/>
        <w:rPr>
          <w:rFonts w:eastAsia="Times New Roman"/>
          <w:b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 xml:space="preserve">Schéma 1.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Approche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rétrosynthétique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 de la (</w:t>
      </w:r>
      <w:proofErr w:type="gram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 A.</w:t>
      </w:r>
    </w:p>
    <w:p w14:paraId="7F408B0E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7422CEC8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19F22B75" w14:textId="7663B5C1" w:rsid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Une synthèse totale de la (</w:t>
      </w:r>
      <w:proofErr w:type="gramStart"/>
      <w:r w:rsidRPr="002D4646">
        <w:rPr>
          <w:rFonts w:eastAsia="Times New Roman"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Times New Roman"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A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a été décrite par l’équipe de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Tadano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et repose sur l’assemblage du précurseur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de la partie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macrolactone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avec l’iodure vinylique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3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possédant un motif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trans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-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décaline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(Schéma 1).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3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Dans la suite, seule la synthèse du précurseur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sera étudiée.</w:t>
      </w:r>
    </w:p>
    <w:p w14:paraId="6A40AAEA" w14:textId="77777777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</w:p>
    <w:p w14:paraId="7A79DB47" w14:textId="4DE9D24F" w:rsid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Q1-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Donner la configuration absolue des centres stéréogènes 2 et 3 de la (</w:t>
      </w:r>
      <w:proofErr w:type="gramStart"/>
      <w:r w:rsidRPr="002D4646">
        <w:rPr>
          <w:rFonts w:eastAsia="Times New Roman"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Times New Roman"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A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 en justifiant votre réponse.</w:t>
      </w:r>
    </w:p>
    <w:p w14:paraId="1E3611D8" w14:textId="77777777" w:rsidR="002D4646" w:rsidRPr="002D4646" w:rsidRDefault="002D4646" w:rsidP="002D4646">
      <w:pPr>
        <w:rPr>
          <w:rFonts w:eastAsia="Times New Roman"/>
          <w:b/>
          <w:color w:val="000000"/>
          <w:sz w:val="24"/>
          <w:szCs w:val="24"/>
          <w:lang w:val="fr-FR"/>
        </w:rPr>
      </w:pPr>
    </w:p>
    <w:p w14:paraId="391544D2" w14:textId="77A6577B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L’iodure vinylique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a été préparé à partir de l’aldéhyde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et du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5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(Schéma 2), dont nous allons détailler les synthèses.</w:t>
      </w:r>
    </w:p>
    <w:p w14:paraId="4B66DDE4" w14:textId="445B432D" w:rsidR="002D4646" w:rsidRDefault="002D4646" w:rsidP="002D4646">
      <w:pPr>
        <w:jc w:val="center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inline distT="0" distB="0" distL="0" distR="0" wp14:anchorId="7C2CFCE5" wp14:editId="64EEDE71">
            <wp:extent cx="5525770" cy="1073150"/>
            <wp:effectExtent l="0" t="0" r="0" b="0"/>
            <wp:docPr id="4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st1"/>
                    <pic:cNvPicPr preferRelativeResize="0"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5770" cy="107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434D" w14:textId="77777777" w:rsidR="002D4646" w:rsidRPr="002D4646" w:rsidRDefault="002D4646" w:rsidP="002D4646">
      <w:pPr>
        <w:jc w:val="center"/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Schéma 2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. Préparation de l’intermédiaire </w:t>
      </w: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3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.</w:t>
      </w:r>
    </w:p>
    <w:p w14:paraId="54F39791" w14:textId="200A7C2E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4D4AB6C5" w14:textId="562A64EF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>
        <w:rPr>
          <w:rFonts w:eastAsia="Times New Roman"/>
          <w:color w:val="000000"/>
          <w:sz w:val="24"/>
          <w:szCs w:val="24"/>
          <w:lang w:val="fr-FR"/>
        </w:rPr>
        <w:t>----------------------------------------------------------------------------------------------------------------------------------</w:t>
      </w:r>
    </w:p>
    <w:p w14:paraId="778B72A8" w14:textId="77777777" w:rsidR="002D4646" w:rsidRPr="002D4646" w:rsidRDefault="002D4646" w:rsidP="002D4646">
      <w:pPr>
        <w:rPr>
          <w:rFonts w:eastAsia="Times New Roman"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1 M.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Igarashi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C. Hayashi, Y.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Homma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S.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Hattori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N. Kinoshita, M. Hamada, T.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Takeuchi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J </w:t>
      </w:r>
      <w:proofErr w:type="spellStart"/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Antibiot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. </w:t>
      </w:r>
      <w:r w:rsidRPr="002D4646">
        <w:rPr>
          <w:rFonts w:eastAsia="Times New Roman"/>
          <w:b/>
          <w:color w:val="000000"/>
          <w:spacing w:val="-3"/>
          <w:sz w:val="24"/>
          <w:szCs w:val="24"/>
          <w:lang w:val="fr-FR"/>
        </w:rPr>
        <w:t>2000</w:t>
      </w: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53</w:t>
      </w: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, 1096–1101.</w:t>
      </w:r>
    </w:p>
    <w:p w14:paraId="3BBA9B0E" w14:textId="77777777" w:rsidR="002D4646" w:rsidRPr="002D4646" w:rsidRDefault="002D4646" w:rsidP="002D4646">
      <w:pPr>
        <w:rPr>
          <w:rFonts w:eastAsia="Times New Roman"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2 M.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Igarashi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H. Nakamura, H.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Naganawa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T. </w:t>
      </w:r>
      <w:proofErr w:type="spellStart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Takeuchi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J </w:t>
      </w:r>
      <w:proofErr w:type="spellStart"/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Antibiot</w:t>
      </w:r>
      <w:proofErr w:type="spellEnd"/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. </w:t>
      </w:r>
      <w:r w:rsidRPr="002D4646">
        <w:rPr>
          <w:rFonts w:eastAsia="Times New Roman"/>
          <w:b/>
          <w:color w:val="000000"/>
          <w:spacing w:val="-3"/>
          <w:sz w:val="24"/>
          <w:szCs w:val="24"/>
          <w:lang w:val="fr-FR"/>
        </w:rPr>
        <w:t>2000</w:t>
      </w: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 xml:space="preserve">, 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53</w:t>
      </w:r>
      <w:r w:rsidRPr="002D4646">
        <w:rPr>
          <w:rFonts w:eastAsia="Times New Roman"/>
          <w:color w:val="000000"/>
          <w:spacing w:val="-3"/>
          <w:sz w:val="24"/>
          <w:szCs w:val="24"/>
          <w:lang w:val="fr-FR"/>
        </w:rPr>
        <w:t>, 1102–1107.</w:t>
      </w:r>
    </w:p>
    <w:p w14:paraId="00DB4407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3 (a) T.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Motozaki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K.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Sawamura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A. Suzuki, K. Yoshida, T.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Ueki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A.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Ohara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R.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Munakata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K.-I.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Takao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K.-I.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Tadano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Org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Lett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2005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7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2261–2264. (b) T.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Motozaki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K.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Sawamura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A. Suzuki, K. Yoshida, T.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Ueki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A.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Ohara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R.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Munakata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K.-I.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Takao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>, K.</w:t>
      </w:r>
      <w:r w:rsidRPr="002D4646">
        <w:rPr>
          <w:rFonts w:eastAsia="Times New Roman"/>
          <w:color w:val="000000"/>
          <w:sz w:val="24"/>
          <w:szCs w:val="24"/>
          <w:lang w:val="fr-FR"/>
        </w:rPr>
        <w:softHyphen/>
        <w:t xml:space="preserve"> I.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Tadano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Org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Lett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2005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7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, 2265–2267.</w:t>
      </w:r>
    </w:p>
    <w:p w14:paraId="76CD6F25" w14:textId="77777777" w:rsidR="002D4646" w:rsidRPr="000F4B13" w:rsidRDefault="002D4646" w:rsidP="002D4646">
      <w:pPr>
        <w:rPr>
          <w:sz w:val="24"/>
          <w:szCs w:val="24"/>
          <w:lang w:val="fr-FR"/>
        </w:rPr>
        <w:sectPr w:rsidR="002D4646" w:rsidRPr="000F4B13" w:rsidSect="00FD7DA2">
          <w:headerReference w:type="default" r:id="rId8"/>
          <w:type w:val="continuous"/>
          <w:pgSz w:w="11904" w:h="16838"/>
          <w:pgMar w:top="720" w:right="720" w:bottom="720" w:left="720" w:header="720" w:footer="720" w:gutter="0"/>
          <w:cols w:space="720"/>
        </w:sectPr>
      </w:pPr>
    </w:p>
    <w:p w14:paraId="32509679" w14:textId="77777777" w:rsidR="002D4646" w:rsidRPr="002D4646" w:rsidRDefault="002D4646" w:rsidP="002D4646">
      <w:pPr>
        <w:rPr>
          <w:rFonts w:eastAsia="Arial"/>
          <w:b/>
          <w:i/>
          <w:color w:val="000000"/>
          <w:sz w:val="24"/>
          <w:szCs w:val="24"/>
          <w:lang w:val="fr-FR"/>
        </w:rPr>
      </w:pPr>
      <w:r w:rsidRPr="002D4646">
        <w:rPr>
          <w:rFonts w:eastAsia="Arial"/>
          <w:b/>
          <w:i/>
          <w:color w:val="000000"/>
          <w:sz w:val="24"/>
          <w:szCs w:val="24"/>
          <w:lang w:val="fr-FR"/>
        </w:rPr>
        <w:lastRenderedPageBreak/>
        <w:t>Synthèse de l’aldéhyde 4</w:t>
      </w:r>
    </w:p>
    <w:p w14:paraId="58A977FF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La synthèse stéréosélective de l’aldéhyde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a été réalisée, en plusieurs étapes, à partir d’une source de chiralité commerciale, l’acide (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R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)-malique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6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 (Schéma 3).</w:t>
      </w:r>
    </w:p>
    <w:p w14:paraId="786D5BE2" w14:textId="77777777" w:rsidR="002D4646" w:rsidRPr="002D4646" w:rsidRDefault="002D4646" w:rsidP="002D4646">
      <w:pPr>
        <w:jc w:val="center"/>
        <w:rPr>
          <w:sz w:val="24"/>
          <w:szCs w:val="24"/>
        </w:rPr>
      </w:pPr>
      <w:r w:rsidRPr="002D4646">
        <w:rPr>
          <w:noProof/>
          <w:sz w:val="24"/>
          <w:szCs w:val="24"/>
        </w:rPr>
        <w:drawing>
          <wp:inline distT="0" distB="0" distL="0" distR="0" wp14:anchorId="173DE153" wp14:editId="3BF9FB3A">
            <wp:extent cx="5142230" cy="740410"/>
            <wp:effectExtent l="0" t="0" r="0" b="0"/>
            <wp:docPr id="7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st1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7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ADCAC" w14:textId="77777777" w:rsidR="002D4646" w:rsidRPr="002D4646" w:rsidRDefault="002D4646" w:rsidP="002D4646">
      <w:pPr>
        <w:jc w:val="center"/>
        <w:rPr>
          <w:sz w:val="24"/>
          <w:szCs w:val="24"/>
        </w:rPr>
      </w:pPr>
      <w:r w:rsidRPr="002D4646">
        <w:rPr>
          <w:noProof/>
          <w:sz w:val="24"/>
          <w:szCs w:val="24"/>
        </w:rPr>
        <w:drawing>
          <wp:inline distT="0" distB="0" distL="0" distR="0" wp14:anchorId="0027C441" wp14:editId="10A09F79">
            <wp:extent cx="5486400" cy="859790"/>
            <wp:effectExtent l="0" t="0" r="0" b="0"/>
            <wp:docPr id="9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test1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077CC" w14:textId="77777777" w:rsidR="002D4646" w:rsidRPr="002D4646" w:rsidRDefault="002D4646" w:rsidP="002D4646">
      <w:pPr>
        <w:jc w:val="center"/>
        <w:rPr>
          <w:sz w:val="24"/>
          <w:szCs w:val="24"/>
        </w:rPr>
      </w:pPr>
      <w:r w:rsidRPr="002D4646">
        <w:rPr>
          <w:noProof/>
          <w:sz w:val="24"/>
          <w:szCs w:val="24"/>
        </w:rPr>
        <w:drawing>
          <wp:inline distT="0" distB="0" distL="0" distR="0" wp14:anchorId="7D129EBA" wp14:editId="4E602F80">
            <wp:extent cx="5949950" cy="1697355"/>
            <wp:effectExtent l="0" t="0" r="0" b="0"/>
            <wp:docPr id="11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est1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08142" w14:textId="77777777" w:rsidR="002D4646" w:rsidRPr="002D4646" w:rsidRDefault="002D4646" w:rsidP="002D4646">
      <w:pPr>
        <w:jc w:val="center"/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Schéma 3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. Synthèse de l’aldéhyde </w:t>
      </w: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à partir de l’acide (R)-malique (</w:t>
      </w: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6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).</w:t>
      </w:r>
    </w:p>
    <w:p w14:paraId="3B462479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210BAB01" w14:textId="6FC0CAE1" w:rsidR="002D4646" w:rsidRDefault="002D4646" w:rsidP="002D4646">
      <w:pPr>
        <w:jc w:val="both"/>
        <w:rPr>
          <w:rFonts w:eastAsia="Times New Roman"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L’acide (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R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)-malique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6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est dans un premier temps estérifié à l’aide d’éthanol en excès en utilisant le protocole suivant :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à une solution d’acide (R)-malique (</w:t>
      </w: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>6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) (6,7 g) dans l’éthanol (300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mL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) sont ajoutés1,4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mL</w:t>
      </w:r>
      <w:proofErr w:type="spellEnd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 d’acide sulfurique à 99,8 %. Le mélange est chauffé au reflux pendant 2 heures, concentré sous vide puis purifié par chromatographie sur gel de silice pour donner 8,6 g du diester </w:t>
      </w: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 xml:space="preserve">7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sous forme d’une huile incolore.</w:t>
      </w:r>
    </w:p>
    <w:p w14:paraId="52340795" w14:textId="3113C40F" w:rsidR="002D4646" w:rsidRDefault="002D4646" w:rsidP="002D4646">
      <w:pPr>
        <w:rPr>
          <w:rFonts w:eastAsia="Times New Roman"/>
          <w:i/>
          <w:color w:val="000000"/>
          <w:sz w:val="24"/>
          <w:szCs w:val="24"/>
          <w:lang w:val="fr-FR"/>
        </w:rPr>
      </w:pPr>
    </w:p>
    <w:p w14:paraId="5E5540A0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57ABF9AA" w14:textId="079D176A" w:rsid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Q2-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Proposer un mécanisme pour la réaction d’estérification d’un acide carboxylique (noté RCO</w:t>
      </w:r>
      <w:r w:rsidRPr="002D4646">
        <w:rPr>
          <w:rFonts w:eastAsia="Times New Roman"/>
          <w:color w:val="000000"/>
          <w:sz w:val="24"/>
          <w:szCs w:val="24"/>
          <w:vertAlign w:val="subscript"/>
          <w:lang w:val="fr-FR"/>
        </w:rPr>
        <w:t>2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H) par de l’éthanol en milieu acide.</w:t>
      </w:r>
    </w:p>
    <w:p w14:paraId="3097F674" w14:textId="77777777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</w:p>
    <w:p w14:paraId="7B95C05A" w14:textId="542300C0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Q3-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Calculer le rendement obtenu dans cette première étape. Quelles sont les conditions utilisées qui</w:t>
      </w:r>
      <w:r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permettent d’optimiser le rendement de cette réaction ?</w:t>
      </w:r>
    </w:p>
    <w:p w14:paraId="3B01357B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386D8208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Q4-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une méthode pour préparer le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diisopropylamidure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de lithium (LDA) à partir du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n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-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butyllithium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(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n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BuLi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). Pourquoi n’a-t-on pas fait réagir directement du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n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-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butyllithium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sur le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7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?</w:t>
      </w:r>
    </w:p>
    <w:p w14:paraId="0FB2DA5F" w14:textId="77777777" w:rsidR="002D4646" w:rsidRDefault="002D4646" w:rsidP="002D4646">
      <w:pPr>
        <w:rPr>
          <w:rFonts w:eastAsia="Times New Roman"/>
          <w:b/>
          <w:bCs/>
          <w:color w:val="000000"/>
          <w:sz w:val="24"/>
          <w:szCs w:val="24"/>
          <w:lang w:val="fr-FR"/>
        </w:rPr>
      </w:pPr>
    </w:p>
    <w:p w14:paraId="5C223848" w14:textId="5DE0AF53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Q5-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Donner la structure de l’intermédiaire formé par action du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diisopropylamidure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de lithium (LDA) sur le substrat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7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et justifier la quantité de LDA utilisée.</w:t>
      </w:r>
    </w:p>
    <w:p w14:paraId="27D61805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5B6446F0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Q6-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un mécanisme pour la formation 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8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à partir 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7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</w:t>
      </w:r>
    </w:p>
    <w:p w14:paraId="7A4D1C21" w14:textId="77777777" w:rsidR="002D4646" w:rsidRDefault="002D4646" w:rsidP="002D4646">
      <w:pPr>
        <w:rPr>
          <w:sz w:val="24"/>
          <w:szCs w:val="24"/>
          <w:lang w:val="fr-FR"/>
        </w:rPr>
      </w:pPr>
    </w:p>
    <w:p w14:paraId="42E48B6A" w14:textId="2B84BD2A" w:rsidR="002D4646" w:rsidRPr="002D4646" w:rsidRDefault="002D4646" w:rsidP="002D4646">
      <w:pPr>
        <w:jc w:val="both"/>
        <w:rPr>
          <w:rFonts w:eastAsia="Times New Roman"/>
          <w:b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Q7-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Sachant que les cations lithium peuvent chélater deux oxygènes différents d’une même molécule afin de former un cycle rigide (ici à 6 atomes) comme indiqué sur la figure ci-</w:t>
      </w:r>
      <w:r>
        <w:rPr>
          <w:rFonts w:eastAsia="Times New Roman"/>
          <w:color w:val="000000"/>
          <w:sz w:val="24"/>
          <w:szCs w:val="24"/>
          <w:lang w:val="fr-FR"/>
        </w:rPr>
        <w:t>dessous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justifier la diastéréosélectivité observée lors de la formation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8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et donner la structure du stéréoisomère minoritairement formé.</w:t>
      </w:r>
    </w:p>
    <w:p w14:paraId="54546CC1" w14:textId="77777777" w:rsidR="002D4646" w:rsidRDefault="002D4646" w:rsidP="002D4646">
      <w:pPr>
        <w:rPr>
          <w:sz w:val="24"/>
          <w:szCs w:val="24"/>
          <w:lang w:val="fr-FR"/>
        </w:rPr>
      </w:pPr>
    </w:p>
    <w:p w14:paraId="7652C61B" w14:textId="77777777" w:rsidR="002D4646" w:rsidRDefault="002D4646" w:rsidP="00FD7DA2">
      <w:pPr>
        <w:jc w:val="center"/>
        <w:rPr>
          <w:sz w:val="24"/>
          <w:szCs w:val="24"/>
          <w:lang w:val="fr-FR"/>
        </w:rPr>
      </w:pPr>
      <w:r>
        <w:rPr>
          <w:noProof/>
        </w:rPr>
        <w:drawing>
          <wp:inline distT="0" distB="0" distL="0" distR="0" wp14:anchorId="4AAA3A92" wp14:editId="7F95CCF3">
            <wp:extent cx="1008380" cy="713105"/>
            <wp:effectExtent l="0" t="0" r="0" b="0"/>
            <wp:docPr id="6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test1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8380" cy="71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D4317" w14:textId="23831515" w:rsidR="002D4646" w:rsidRPr="002D4646" w:rsidRDefault="002D4646" w:rsidP="002D4646">
      <w:pPr>
        <w:rPr>
          <w:rFonts w:eastAsia="Times New Roman"/>
          <w:b/>
          <w:color w:val="000000"/>
          <w:sz w:val="24"/>
          <w:szCs w:val="24"/>
          <w:lang w:val="fr-FR"/>
        </w:rPr>
      </w:pPr>
    </w:p>
    <w:p w14:paraId="5C438DEA" w14:textId="313FA5E6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Q8-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des conditions réactionnelles (réactif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9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pour effectuer la transformation du diester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8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en triol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10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</w:t>
      </w:r>
    </w:p>
    <w:p w14:paraId="71CC36B4" w14:textId="77777777" w:rsidR="002D4646" w:rsidRPr="002D4646" w:rsidRDefault="002D4646" w:rsidP="002D4646">
      <w:pPr>
        <w:rPr>
          <w:rFonts w:eastAsia="Times New Roman"/>
          <w:b/>
          <w:color w:val="000000"/>
          <w:sz w:val="24"/>
          <w:szCs w:val="24"/>
          <w:lang w:val="fr-FR"/>
        </w:rPr>
      </w:pPr>
    </w:p>
    <w:p w14:paraId="26A82B91" w14:textId="45CD2AC1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L’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acétalisation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du triol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10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en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hydroxyacétal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est effectuée en utilisant du (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diméthoxyméthyl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>)benzène et de l’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Amberlyst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15, une résine échangeuse d’ions capable de fournir des protons. Le spectre RMN du proton du produit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(300 MHz, CDCl3) présente les signaux suivants (</w:t>
      </w:r>
      <w:r w:rsidRPr="002D4646">
        <w:rPr>
          <w:rFonts w:ascii="Symbol" w:eastAsia="Times New Roman" w:hAnsi="Symbol"/>
          <w:color w:val="000000"/>
          <w:sz w:val="24"/>
          <w:szCs w:val="24"/>
          <w:lang w:val="fr-FR"/>
        </w:rPr>
        <w:t>d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en ppm)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4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:</w:t>
      </w:r>
    </w:p>
    <w:p w14:paraId="0076BC61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1C9C2030" w14:textId="17025D6D" w:rsidR="002D4646" w:rsidRPr="002D4646" w:rsidRDefault="002D4646" w:rsidP="002D4646">
      <w:pPr>
        <w:rPr>
          <w:rFonts w:eastAsia="Times New Roman"/>
          <w:color w:val="000000"/>
          <w:spacing w:val="-18"/>
          <w:sz w:val="24"/>
          <w:szCs w:val="24"/>
        </w:rPr>
      </w:pP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1,60–2,42 (3H,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m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), 3,70–4,00 (5H,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m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), 4,20 (1H,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s large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), 5,05 (1H,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d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 xml:space="preserve">J 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= l0,2 Hz), 5,06 (1H,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d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 xml:space="preserve">J 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= 17,1 Hz), 5,48 (1H,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s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), 5,79 (1H, </w:t>
      </w:r>
      <w:proofErr w:type="spellStart"/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ddt</w:t>
      </w:r>
      <w:proofErr w:type="spellEnd"/>
      <w:r w:rsidRPr="002D4646">
        <w:rPr>
          <w:rFonts w:eastAsia="Times New Roman"/>
          <w:i/>
          <w:color w:val="000000"/>
          <w:spacing w:val="-18"/>
          <w:sz w:val="24"/>
          <w:szCs w:val="24"/>
        </w:rPr>
        <w:t xml:space="preserve">, J 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>= 17,</w:t>
      </w:r>
      <w:proofErr w:type="gramStart"/>
      <w:r w:rsidRPr="002D4646">
        <w:rPr>
          <w:rFonts w:eastAsia="Times New Roman"/>
          <w:color w:val="000000"/>
          <w:spacing w:val="-18"/>
          <w:sz w:val="24"/>
          <w:szCs w:val="24"/>
        </w:rPr>
        <w:t>1 ;</w:t>
      </w:r>
      <w:proofErr w:type="gramEnd"/>
      <w:r w:rsidRPr="002D4646">
        <w:rPr>
          <w:rFonts w:eastAsia="Times New Roman"/>
          <w:color w:val="000000"/>
          <w:spacing w:val="-18"/>
          <w:sz w:val="24"/>
          <w:szCs w:val="24"/>
        </w:rPr>
        <w:t xml:space="preserve"> 10,2 et 7,0 Hz), 7,15-7,55 (5H, </w:t>
      </w:r>
      <w:r w:rsidRPr="002D4646">
        <w:rPr>
          <w:rFonts w:eastAsia="Times New Roman"/>
          <w:i/>
          <w:color w:val="000000"/>
          <w:spacing w:val="-18"/>
          <w:sz w:val="24"/>
          <w:szCs w:val="24"/>
        </w:rPr>
        <w:t>m</w:t>
      </w:r>
      <w:r w:rsidRPr="002D4646">
        <w:rPr>
          <w:rFonts w:eastAsia="Times New Roman"/>
          <w:color w:val="000000"/>
          <w:spacing w:val="-18"/>
          <w:sz w:val="24"/>
          <w:szCs w:val="24"/>
        </w:rPr>
        <w:t>).</w:t>
      </w:r>
    </w:p>
    <w:p w14:paraId="2C8B81FE" w14:textId="44D8CF68" w:rsidR="002D4646" w:rsidRDefault="002D4646" w:rsidP="002D4646">
      <w:pPr>
        <w:rPr>
          <w:rFonts w:eastAsia="Times New Roman"/>
          <w:color w:val="000000"/>
          <w:spacing w:val="-2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>(</w:t>
      </w:r>
      <w:r w:rsidRPr="002D4646">
        <w:rPr>
          <w:rFonts w:eastAsia="Times New Roman"/>
          <w:i/>
          <w:color w:val="000000"/>
          <w:spacing w:val="-2"/>
          <w:sz w:val="24"/>
          <w:szCs w:val="24"/>
          <w:lang w:val="fr-FR"/>
        </w:rPr>
        <w:t xml:space="preserve">s 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 xml:space="preserve">= singulet ; </w:t>
      </w:r>
      <w:r w:rsidRPr="002D4646">
        <w:rPr>
          <w:rFonts w:eastAsia="Times New Roman"/>
          <w:i/>
          <w:color w:val="000000"/>
          <w:spacing w:val="-2"/>
          <w:sz w:val="24"/>
          <w:szCs w:val="24"/>
          <w:lang w:val="fr-FR"/>
        </w:rPr>
        <w:t xml:space="preserve">d 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 xml:space="preserve">= doublet ; </w:t>
      </w:r>
      <w:r w:rsidRPr="002D4646">
        <w:rPr>
          <w:rFonts w:eastAsia="Times New Roman"/>
          <w:i/>
          <w:color w:val="000000"/>
          <w:spacing w:val="-2"/>
          <w:sz w:val="24"/>
          <w:szCs w:val="24"/>
          <w:lang w:val="fr-FR"/>
        </w:rPr>
        <w:t xml:space="preserve">t 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 xml:space="preserve">= triplet ; </w:t>
      </w:r>
      <w:r w:rsidRPr="002D4646">
        <w:rPr>
          <w:rFonts w:eastAsia="Times New Roman"/>
          <w:i/>
          <w:color w:val="000000"/>
          <w:spacing w:val="-2"/>
          <w:sz w:val="24"/>
          <w:szCs w:val="24"/>
          <w:lang w:val="fr-FR"/>
        </w:rPr>
        <w:t xml:space="preserve">m 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>= multiplet)</w:t>
      </w:r>
    </w:p>
    <w:p w14:paraId="48EB928A" w14:textId="1B1BDEA9" w:rsidR="002D4646" w:rsidRDefault="00FD7DA2" w:rsidP="002D4646">
      <w:pPr>
        <w:rPr>
          <w:rFonts w:eastAsia="Times New Roman"/>
          <w:color w:val="000000"/>
          <w:spacing w:val="-2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0" distR="0" simplePos="0" relativeHeight="251639808" behindDoc="0" locked="0" layoutInCell="1" allowOverlap="1" wp14:anchorId="5B0B1D23" wp14:editId="2C33D4AF">
            <wp:simplePos x="0" y="0"/>
            <wp:positionH relativeFrom="page">
              <wp:posOffset>5634444</wp:posOffset>
            </wp:positionH>
            <wp:positionV relativeFrom="page">
              <wp:posOffset>1876321</wp:posOffset>
            </wp:positionV>
            <wp:extent cx="1234440" cy="981710"/>
            <wp:effectExtent l="0" t="0" r="0" b="0"/>
            <wp:wrapThrough wrapText="bothSides">
              <wp:wrapPolygon edited="0">
                <wp:start x="0" y="0"/>
                <wp:lineTo x="0" y="21004"/>
                <wp:lineTo x="9766" y="21004"/>
                <wp:lineTo x="9766" y="21605"/>
                <wp:lineTo x="21600" y="21605"/>
                <wp:lineTo x="21600" y="0"/>
                <wp:lineTo x="0" y="0"/>
              </wp:wrapPolygon>
            </wp:wrapThrough>
            <wp:docPr id="15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4CA49A" w14:textId="74413337" w:rsidR="002D4646" w:rsidRPr="002D4646" w:rsidRDefault="002D4646" w:rsidP="002D4646">
      <w:pPr>
        <w:rPr>
          <w:rFonts w:eastAsia="Times New Roman"/>
          <w:color w:val="000000"/>
          <w:spacing w:val="-2"/>
          <w:sz w:val="24"/>
          <w:szCs w:val="24"/>
          <w:lang w:val="fr-FR"/>
        </w:rPr>
      </w:pPr>
    </w:p>
    <w:p w14:paraId="7F06BBB8" w14:textId="4FB2D82C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Q9-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A l’aide des tables (Annexe 5 page 15), attribuer le plus précisément possible l’ensemble des signaux du spectre RMN 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H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en utilisant la numérotation proposée. Justifier soigneusement les attributions.</w:t>
      </w:r>
    </w:p>
    <w:p w14:paraId="405C88DD" w14:textId="77777777" w:rsidR="002D4646" w:rsidRPr="002D4646" w:rsidRDefault="002D4646" w:rsidP="002D4646">
      <w:pP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56D8D05A" w14:textId="77777777" w:rsidR="002D4646" w:rsidRDefault="002D4646" w:rsidP="002D4646">
      <w:pPr>
        <w:rPr>
          <w:rFonts w:eastAsia="Times New Roman"/>
          <w:b/>
          <w:bCs/>
          <w:color w:val="000000"/>
          <w:spacing w:val="-1"/>
          <w:sz w:val="24"/>
          <w:szCs w:val="24"/>
          <w:lang w:val="fr-FR"/>
        </w:rPr>
      </w:pPr>
    </w:p>
    <w:p w14:paraId="38FB6C6A" w14:textId="79FF6BD5" w:rsidR="002D4646" w:rsidRPr="002D4646" w:rsidRDefault="002D4646" w:rsidP="002D4646">
      <w:pPr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pacing w:val="-1"/>
          <w:sz w:val="24"/>
          <w:szCs w:val="24"/>
          <w:lang w:val="fr-FR"/>
        </w:rPr>
        <w:t>Q10-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Proposer des réactifs (réactif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>12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) permettant la transformation de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11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en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13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(voir Document 1).</w:t>
      </w:r>
    </w:p>
    <w:p w14:paraId="764C1273" w14:textId="77777777" w:rsidR="002D4646" w:rsidRDefault="002D4646" w:rsidP="002D4646">
      <w:pPr>
        <w:rPr>
          <w:rFonts w:eastAsia="Times New Roman"/>
          <w:b/>
          <w:i/>
          <w:color w:val="000000"/>
          <w:sz w:val="24"/>
          <w:szCs w:val="24"/>
          <w:lang w:val="fr-FR"/>
        </w:rPr>
      </w:pPr>
    </w:p>
    <w:p w14:paraId="207AE817" w14:textId="5412F4F4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b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>Document 1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. Protection de la fonction alcool via la formation d’éthers.</w:t>
      </w:r>
    </w:p>
    <w:p w14:paraId="26267C12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Dans une synthèse, les groupements hydroxy sont, la plupart du temps, protégés. Parmi les groupements protecteurs couramment utilisés, on rencontre les éthers de benzyle (R–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OBn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ou les éthers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silylés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(R–OSiR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R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2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R</w:t>
      </w:r>
      <w:r w:rsidRPr="002D4646">
        <w:rPr>
          <w:rFonts w:eastAsia="Times New Roman"/>
          <w:color w:val="000000"/>
          <w:sz w:val="24"/>
          <w:szCs w:val="24"/>
          <w:vertAlign w:val="superscript"/>
          <w:lang w:val="fr-FR"/>
        </w:rPr>
        <w:t>3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 qui sont formés via des réactions de substitution.</w:t>
      </w:r>
    </w:p>
    <w:p w14:paraId="2D727D7B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114300" distR="114300" simplePos="0" relativeHeight="251648000" behindDoc="0" locked="0" layoutInCell="1" allowOverlap="1" wp14:anchorId="743F2C8E" wp14:editId="369D412B">
            <wp:simplePos x="0" y="0"/>
            <wp:positionH relativeFrom="column">
              <wp:posOffset>1769878</wp:posOffset>
            </wp:positionH>
            <wp:positionV relativeFrom="paragraph">
              <wp:posOffset>64874</wp:posOffset>
            </wp:positionV>
            <wp:extent cx="3261360" cy="847090"/>
            <wp:effectExtent l="0" t="0" r="0" b="0"/>
            <wp:wrapNone/>
            <wp:docPr id="17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test1"/>
                    <pic:cNvPicPr preferRelativeResize="0"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136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44A157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sz w:val="24"/>
          <w:szCs w:val="24"/>
          <w:lang w:val="fr-FR"/>
        </w:rPr>
      </w:pPr>
    </w:p>
    <w:p w14:paraId="0FEE4F4A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446484B4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5F43B76B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43E06F65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 wp14:anchorId="49D9D295" wp14:editId="44706E4D">
            <wp:simplePos x="0" y="0"/>
            <wp:positionH relativeFrom="column">
              <wp:posOffset>1638507</wp:posOffset>
            </wp:positionH>
            <wp:positionV relativeFrom="paragraph">
              <wp:posOffset>17839</wp:posOffset>
            </wp:positionV>
            <wp:extent cx="3578225" cy="692150"/>
            <wp:effectExtent l="0" t="0" r="3175" b="0"/>
            <wp:wrapNone/>
            <wp:docPr id="19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test1"/>
                    <pic:cNvPicPr preferRelativeResize="0"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225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1E4245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67E11CF7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42213002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0E3B955F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1EDE0C6B" w14:textId="77777777" w:rsidR="002D4646" w:rsidRPr="002D4646" w:rsidRDefault="002D4646" w:rsidP="002D4646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Les éthers de benzyle sont facilement déprotégés par hydrogénolyse (H2, Pd/C cat.), alors que les éthers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silylés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sont retirés en présence d’ions fluorures (Bu4NF), permettant de régénérer la fonction alcool. Parmi les éthers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silylés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courants on rencontre le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triméthylsilyle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(R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1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2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3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Me), le </w:t>
      </w:r>
      <w:proofErr w:type="spellStart"/>
      <w:r w:rsidRPr="002D4646">
        <w:rPr>
          <w:rFonts w:eastAsia="Times New Roman"/>
          <w:i/>
          <w:color w:val="000000"/>
          <w:spacing w:val="-1"/>
          <w:sz w:val="24"/>
          <w:szCs w:val="24"/>
          <w:lang w:val="fr-FR"/>
        </w:rPr>
        <w:t>tert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-butyldiméthylsilyle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(R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1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</w:t>
      </w:r>
      <w:proofErr w:type="spellStart"/>
      <w:r w:rsidRPr="002D4646">
        <w:rPr>
          <w:rFonts w:eastAsia="Times New Roman"/>
          <w:i/>
          <w:color w:val="000000"/>
          <w:spacing w:val="-1"/>
          <w:sz w:val="24"/>
          <w:szCs w:val="24"/>
          <w:lang w:val="fr-FR"/>
        </w:rPr>
        <w:t>t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Bu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, R2 = 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3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Me) abrégé TBS ou le </w:t>
      </w:r>
      <w:proofErr w:type="spellStart"/>
      <w:r w:rsidRPr="002D4646">
        <w:rPr>
          <w:rFonts w:eastAsia="Times New Roman"/>
          <w:i/>
          <w:color w:val="000000"/>
          <w:spacing w:val="-1"/>
          <w:sz w:val="24"/>
          <w:szCs w:val="24"/>
          <w:lang w:val="fr-FR"/>
        </w:rPr>
        <w:t>tert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-butyldiphénylsilyle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(R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1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</w:t>
      </w:r>
      <w:proofErr w:type="spellStart"/>
      <w:r w:rsidRPr="002D4646">
        <w:rPr>
          <w:rFonts w:eastAsia="Times New Roman"/>
          <w:i/>
          <w:color w:val="000000"/>
          <w:spacing w:val="-1"/>
          <w:sz w:val="24"/>
          <w:szCs w:val="24"/>
          <w:lang w:val="fr-FR"/>
        </w:rPr>
        <w:t>t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Bu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, 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2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R</w:t>
      </w:r>
      <w:r w:rsidRPr="002D4646">
        <w:rPr>
          <w:rFonts w:eastAsia="Times New Roman"/>
          <w:color w:val="000000"/>
          <w:spacing w:val="-1"/>
          <w:sz w:val="24"/>
          <w:szCs w:val="24"/>
          <w:vertAlign w:val="superscript"/>
          <w:lang w:val="fr-FR"/>
        </w:rPr>
        <w:t>3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= Ph) abrégé TBDPS.</w:t>
      </w:r>
    </w:p>
    <w:p w14:paraId="30B29E91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478F3379" w14:textId="732A169E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Le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13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est ensuite transformé en un intermédiaire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selon le mode opératoire suivant :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sous atmosphère d’argon, le composé </w:t>
      </w: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>13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, en solution dans le THF anhydre, est traité par BH</w:t>
      </w:r>
      <w:r w:rsidRPr="002D4646">
        <w:rPr>
          <w:rFonts w:eastAsia="Times New Roman"/>
          <w:i/>
          <w:color w:val="000000"/>
          <w:sz w:val="24"/>
          <w:szCs w:val="24"/>
          <w:vertAlign w:val="subscript"/>
          <w:lang w:val="fr-FR"/>
        </w:rPr>
        <w:t>3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•Me</w:t>
      </w:r>
      <w:r w:rsidRPr="002D4646">
        <w:rPr>
          <w:rFonts w:eastAsia="Times New Roman"/>
          <w:i/>
          <w:color w:val="000000"/>
          <w:sz w:val="24"/>
          <w:szCs w:val="24"/>
          <w:vertAlign w:val="subscript"/>
          <w:lang w:val="fr-FR"/>
        </w:rPr>
        <w:t>2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S et agité pendant 2,5 heures à température ambiante avant d’ajouter un mélange de soude et de peroxyde d’hydrogène. Après une heure de réaction, une solution à 10 % de thiosulfate de sodium est ajoutée à 0 °C avant traitement et purification pour donner le composé </w:t>
      </w: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 xml:space="preserve">14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>avec un rendement de 86 %.</w:t>
      </w:r>
    </w:p>
    <w:p w14:paraId="5BB67130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0E0389F0" w14:textId="77777777" w:rsidR="002D4646" w:rsidRPr="002D4646" w:rsidRDefault="002D4646" w:rsidP="002D4646">
      <w:pPr>
        <w:rPr>
          <w:rFonts w:eastAsia="Times New Roman"/>
          <w:b/>
          <w:bCs/>
          <w:color w:val="000000"/>
          <w:sz w:val="24"/>
          <w:szCs w:val="24"/>
          <w:lang w:val="fr-FR"/>
        </w:rPr>
      </w:pPr>
    </w:p>
    <w:p w14:paraId="38CF8325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Q11-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Donner la structure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formé et justifier la régiosélectivité de la réaction. Quel est l’intérêt d’ajouter une solution de thiosulfate de sodium à la fin de la réaction ?</w:t>
      </w:r>
    </w:p>
    <w:p w14:paraId="0BE6FCCF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377D46EC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Q12-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les réactifs (réactif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15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et réactif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17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permettant la transformation 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en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18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</w:t>
      </w:r>
    </w:p>
    <w:p w14:paraId="5C16AEA3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1DFB8B76" w14:textId="77777777" w:rsidR="00CE7B12" w:rsidRDefault="002D4646" w:rsidP="00CE7B12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Q13-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Quel type de réaction permet la transformation de l’alcool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18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en aldéhyde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?</w:t>
      </w:r>
    </w:p>
    <w:p w14:paraId="6C532433" w14:textId="77777777" w:rsidR="00CE7B12" w:rsidRDefault="00CE7B12" w:rsidP="00CE7B12">
      <w:pPr>
        <w:rPr>
          <w:rFonts w:eastAsia="Times New Roman"/>
          <w:color w:val="000000"/>
          <w:sz w:val="24"/>
          <w:szCs w:val="24"/>
          <w:lang w:val="fr-FR"/>
        </w:rPr>
      </w:pPr>
    </w:p>
    <w:p w14:paraId="3165CA47" w14:textId="77777777" w:rsidR="00CE7B12" w:rsidRDefault="00CE7B12" w:rsidP="00CE7B12">
      <w:pPr>
        <w:rPr>
          <w:rFonts w:eastAsia="Times New Roman"/>
          <w:color w:val="000000"/>
          <w:sz w:val="24"/>
          <w:szCs w:val="24"/>
          <w:lang w:val="fr-FR"/>
        </w:rPr>
      </w:pPr>
    </w:p>
    <w:p w14:paraId="7D3C96BC" w14:textId="14E2D552" w:rsidR="00CE7B12" w:rsidRPr="00CE7B12" w:rsidRDefault="002D4646" w:rsidP="00CE7B12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7B5199C6" wp14:editId="64959D64">
                <wp:simplePos x="0" y="0"/>
                <wp:positionH relativeFrom="page">
                  <wp:posOffset>492715</wp:posOffset>
                </wp:positionH>
                <wp:positionV relativeFrom="page">
                  <wp:posOffset>9849588</wp:posOffset>
                </wp:positionV>
                <wp:extent cx="6384231" cy="210820"/>
                <wp:effectExtent l="0" t="0" r="17145" b="17780"/>
                <wp:wrapSquare wrapText="bothSides"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4231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E2F70D" w14:textId="2B3BD037" w:rsidR="002D4646" w:rsidRPr="005D6637" w:rsidRDefault="002D4646" w:rsidP="002D4646">
                            <w:pPr>
                              <w:spacing w:before="21" w:after="78" w:line="218" w:lineRule="exact"/>
                              <w:textAlignment w:val="baseline"/>
                              <w:rPr>
                                <w:rFonts w:ascii="Bookman Old Style" w:eastAsia="Bookman Old Style" w:hAnsi="Bookman Old Style"/>
                                <w:color w:val="000000"/>
                                <w:spacing w:val="-5"/>
                                <w:sz w:val="14"/>
                                <w:vertAlign w:val="superscript"/>
                              </w:rPr>
                            </w:pPr>
                            <w:r>
                              <w:rPr>
                                <w:rFonts w:ascii="Bookman Old Style" w:eastAsia="Bookman Old Style" w:hAnsi="Bookman Old Style"/>
                                <w:color w:val="000000"/>
                                <w:spacing w:val="-5"/>
                                <w:sz w:val="24"/>
                                <w:szCs w:val="24"/>
                                <w:vertAlign w:val="superscript"/>
                              </w:rPr>
                              <w:t>4</w:t>
                            </w:r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Y. Morimoto, A. Mikami, S.-I. </w:t>
                            </w:r>
                            <w:proofErr w:type="spellStart"/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Kuwabe</w:t>
                            </w:r>
                            <w:proofErr w:type="spellEnd"/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, H. </w:t>
                            </w:r>
                            <w:proofErr w:type="spellStart"/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Shirahama</w:t>
                            </w:r>
                            <w:proofErr w:type="spellEnd"/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D4646">
                              <w:rPr>
                                <w:rFonts w:eastAsia="Times New Roman"/>
                                <w:i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Tetrahedron: Asymmetry </w:t>
                            </w:r>
                            <w:r w:rsidRPr="002D4646">
                              <w:rPr>
                                <w:rFonts w:eastAsia="Times New Roman"/>
                                <w:b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1996</w:t>
                            </w:r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D4646">
                              <w:rPr>
                                <w:rFonts w:eastAsia="Times New Roman"/>
                                <w:i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7</w:t>
                            </w:r>
                            <w:r w:rsidRPr="002D4646">
                              <w:rPr>
                                <w:rFonts w:eastAsia="Times New Roman"/>
                                <w:color w:val="000000"/>
                                <w:spacing w:val="-5"/>
                                <w:sz w:val="24"/>
                                <w:szCs w:val="24"/>
                              </w:rPr>
                              <w:t>, 3371–3390</w:t>
                            </w:r>
                            <w:r w:rsidRPr="005D6637">
                              <w:rPr>
                                <w:rFonts w:eastAsia="Times New Roman"/>
                                <w:color w:val="000000"/>
                                <w:spacing w:val="-5"/>
                                <w:sz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5199C6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38.8pt;margin-top:775.55pt;width:502.7pt;height:16.6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" filled="f" stroked="f">
                <v:textbox inset="0,0,0,0">
                  <w:txbxContent>
                    <w:p w14:paraId="01E2F70D" w14:textId="2B3BD037" w:rsidR="002D4646" w:rsidRPr="005D6637" w:rsidRDefault="002D4646" w:rsidP="002D4646">
                      <w:pPr>
                        <w:spacing w:before="21" w:after="78" w:line="218" w:lineRule="exact"/>
                        <w:textAlignment w:val="baseline"/>
                        <w:rPr>
                          <w:rFonts w:ascii="Bookman Old Style" w:eastAsia="Bookman Old Style" w:hAnsi="Bookman Old Style"/>
                          <w:color w:val="000000"/>
                          <w:spacing w:val="-5"/>
                          <w:sz w:val="14"/>
                          <w:vertAlign w:val="superscript"/>
                        </w:rPr>
                      </w:pPr>
                      <w:r>
                        <w:rPr>
                          <w:rFonts w:ascii="Bookman Old Style" w:eastAsia="Bookman Old Style" w:hAnsi="Bookman Old Style"/>
                          <w:color w:val="000000"/>
                          <w:spacing w:val="-5"/>
                          <w:sz w:val="24"/>
                          <w:szCs w:val="24"/>
                          <w:vertAlign w:val="superscript"/>
                        </w:rPr>
                        <w:t>4</w:t>
                      </w:r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Y. Morimoto, A. Mikami, S.-I. </w:t>
                      </w:r>
                      <w:proofErr w:type="spellStart"/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>Kuwabe</w:t>
                      </w:r>
                      <w:proofErr w:type="spellEnd"/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, H. </w:t>
                      </w:r>
                      <w:proofErr w:type="spellStart"/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>Shirahama</w:t>
                      </w:r>
                      <w:proofErr w:type="spellEnd"/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r w:rsidRPr="002D4646">
                        <w:rPr>
                          <w:rFonts w:eastAsia="Times New Roman"/>
                          <w:i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Tetrahedron: Asymmetry </w:t>
                      </w:r>
                      <w:r w:rsidRPr="002D4646">
                        <w:rPr>
                          <w:rFonts w:eastAsia="Times New Roman"/>
                          <w:b/>
                          <w:color w:val="000000"/>
                          <w:spacing w:val="-5"/>
                          <w:sz w:val="24"/>
                          <w:szCs w:val="24"/>
                        </w:rPr>
                        <w:t>1996</w:t>
                      </w:r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 xml:space="preserve">, </w:t>
                      </w:r>
                      <w:r w:rsidRPr="002D4646">
                        <w:rPr>
                          <w:rFonts w:eastAsia="Times New Roman"/>
                          <w:i/>
                          <w:color w:val="000000"/>
                          <w:spacing w:val="-5"/>
                          <w:sz w:val="24"/>
                          <w:szCs w:val="24"/>
                        </w:rPr>
                        <w:t>7</w:t>
                      </w:r>
                      <w:r w:rsidRPr="002D4646">
                        <w:rPr>
                          <w:rFonts w:eastAsia="Times New Roman"/>
                          <w:color w:val="000000"/>
                          <w:spacing w:val="-5"/>
                          <w:sz w:val="24"/>
                          <w:szCs w:val="24"/>
                        </w:rPr>
                        <w:t>, 3371–3390</w:t>
                      </w:r>
                      <w:r w:rsidRPr="005D6637">
                        <w:rPr>
                          <w:rFonts w:eastAsia="Times New Roman"/>
                          <w:color w:val="000000"/>
                          <w:spacing w:val="-5"/>
                          <w:sz w:val="19"/>
                        </w:rPr>
                        <w:t>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CE7B12">
        <w:rPr>
          <w:rFonts w:eastAsia="Times New Roman"/>
          <w:color w:val="000000"/>
          <w:sz w:val="24"/>
          <w:szCs w:val="24"/>
          <w:lang w:val="fr-FR"/>
        </w:rPr>
        <w:t>---------------------------------------------------------------------------------------------------------------------------------</w:t>
      </w:r>
    </w:p>
    <w:p w14:paraId="0AB6B794" w14:textId="77777777" w:rsidR="00CE7B12" w:rsidRPr="002D4646" w:rsidRDefault="00CE7B12" w:rsidP="00CE7B12">
      <w:pPr>
        <w:rPr>
          <w:rFonts w:eastAsia="Arial"/>
          <w:b/>
          <w:i/>
          <w:color w:val="000000"/>
          <w:sz w:val="24"/>
          <w:szCs w:val="24"/>
          <w:lang w:val="fr-FR"/>
        </w:rPr>
      </w:pPr>
      <w:r w:rsidRPr="002D4646">
        <w:rPr>
          <w:rFonts w:eastAsia="Arial"/>
          <w:b/>
          <w:i/>
          <w:color w:val="000000"/>
          <w:sz w:val="24"/>
          <w:szCs w:val="24"/>
          <w:lang w:val="fr-FR"/>
        </w:rPr>
        <w:lastRenderedPageBreak/>
        <w:t xml:space="preserve">Synthèse du </w:t>
      </w:r>
      <w:proofErr w:type="spellStart"/>
      <w:r w:rsidRPr="002D4646">
        <w:rPr>
          <w:rFonts w:eastAsia="Arial"/>
          <w:b/>
          <w:i/>
          <w:color w:val="000000"/>
          <w:sz w:val="24"/>
          <w:szCs w:val="24"/>
          <w:lang w:val="fr-FR"/>
        </w:rPr>
        <w:t>phosphonate</w:t>
      </w:r>
      <w:proofErr w:type="spellEnd"/>
      <w:r w:rsidRPr="002D4646">
        <w:rPr>
          <w:rFonts w:eastAsia="Arial"/>
          <w:b/>
          <w:i/>
          <w:color w:val="000000"/>
          <w:sz w:val="24"/>
          <w:szCs w:val="24"/>
          <w:lang w:val="fr-FR"/>
        </w:rPr>
        <w:t xml:space="preserve"> 5</w:t>
      </w:r>
    </w:p>
    <w:p w14:paraId="5C3224B2" w14:textId="77777777" w:rsidR="00CE7B12" w:rsidRDefault="00CE7B12" w:rsidP="00CE7B12">
      <w:pPr>
        <w:jc w:val="both"/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56E0B536" w14:textId="770D819C" w:rsidR="00CE7B12" w:rsidRDefault="00CE7B12" w:rsidP="00CE7B12">
      <w:pPr>
        <w:jc w:val="both"/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71810E02" wp14:editId="7F0365D9">
            <wp:simplePos x="0" y="0"/>
            <wp:positionH relativeFrom="column">
              <wp:posOffset>788714</wp:posOffset>
            </wp:positionH>
            <wp:positionV relativeFrom="paragraph">
              <wp:posOffset>1451197</wp:posOffset>
            </wp:positionV>
            <wp:extent cx="5431790" cy="1642745"/>
            <wp:effectExtent l="0" t="0" r="0" b="0"/>
            <wp:wrapNone/>
            <wp:docPr id="12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test1"/>
                    <pic:cNvPicPr preferRelativeResize="0"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179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Le composé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ainsi formé a été mis en réaction avec le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>5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, dont la synthèse a été réalisée à partir du malonate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19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(Schéma 4). La synthèse du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5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débute par l’action de l’hydrure de sodium sur le</w:t>
      </w:r>
    </w:p>
    <w:p w14:paraId="515B2C19" w14:textId="307A61D6" w:rsidR="002D4646" w:rsidRPr="002D4646" w:rsidRDefault="002D4646" w:rsidP="00CE7B12">
      <w:pPr>
        <w:jc w:val="both"/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malonate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19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en présence de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triiodométhane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dans l’éther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diéthylique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au reflux. Un composé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>20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, de formule brute C</w:t>
      </w:r>
      <w:r w:rsidRPr="00CE7B12">
        <w:rPr>
          <w:rFonts w:eastAsia="Times New Roman"/>
          <w:color w:val="000000"/>
          <w:spacing w:val="-1"/>
          <w:sz w:val="24"/>
          <w:szCs w:val="24"/>
          <w:vertAlign w:val="subscript"/>
          <w:lang w:val="fr-FR"/>
        </w:rPr>
        <w:t>9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H</w:t>
      </w:r>
      <w:r w:rsidRPr="00CE7B12">
        <w:rPr>
          <w:rFonts w:eastAsia="Times New Roman"/>
          <w:color w:val="000000"/>
          <w:spacing w:val="-1"/>
          <w:sz w:val="24"/>
          <w:szCs w:val="24"/>
          <w:vertAlign w:val="subscript"/>
          <w:lang w:val="fr-FR"/>
        </w:rPr>
        <w:t>14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I</w:t>
      </w:r>
      <w:r w:rsidRPr="00CE7B12">
        <w:rPr>
          <w:rFonts w:eastAsia="Times New Roman"/>
          <w:color w:val="000000"/>
          <w:spacing w:val="-1"/>
          <w:sz w:val="24"/>
          <w:szCs w:val="24"/>
          <w:vertAlign w:val="subscript"/>
          <w:lang w:val="fr-FR"/>
        </w:rPr>
        <w:t>2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O</w:t>
      </w:r>
      <w:r w:rsidRPr="00CE7B12">
        <w:rPr>
          <w:rFonts w:eastAsia="Times New Roman"/>
          <w:color w:val="000000"/>
          <w:spacing w:val="-1"/>
          <w:sz w:val="24"/>
          <w:szCs w:val="24"/>
          <w:vertAlign w:val="subscript"/>
          <w:lang w:val="fr-FR"/>
        </w:rPr>
        <w:t>4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, est obtenu avec un rendement de 65 %. La réaction de ce composé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20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avec de l’hydroxyde de potassium dans un mélange hydroalcoolique au reflux permet la formation d’un intermédiaire ionique instable [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>21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] qui se décompose rapidement avec dégagement gazeux. L’iodure vinylique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22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est ensuite obtenu après acidification du milieu réactionnel.</w:t>
      </w:r>
      <w:r w:rsidRPr="002D4646">
        <w:rPr>
          <w:noProof/>
          <w:sz w:val="24"/>
          <w:szCs w:val="24"/>
          <w:lang w:val="fr-FR"/>
        </w:rPr>
        <w:t xml:space="preserve"> </w:t>
      </w:r>
    </w:p>
    <w:p w14:paraId="31B7A58E" w14:textId="77777777" w:rsidR="002D4646" w:rsidRPr="002D4646" w:rsidRDefault="002D4646" w:rsidP="002D4646">
      <w:pP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6D5716B2" w14:textId="77777777" w:rsidR="002D4646" w:rsidRPr="002D4646" w:rsidRDefault="002D4646" w:rsidP="002D4646">
      <w:pPr>
        <w:rPr>
          <w:rFonts w:eastAsia="Times New Roman"/>
          <w:color w:val="000000"/>
          <w:spacing w:val="-1"/>
          <w:sz w:val="24"/>
          <w:szCs w:val="24"/>
          <w:lang w:val="fr-FR"/>
        </w:rPr>
      </w:pPr>
    </w:p>
    <w:p w14:paraId="410E89E6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264F3693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7B1AD781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254841C5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5AFD90E2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7ECD9950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2A76DCBA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400E1F77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315D159C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7909B579" w14:textId="77777777" w:rsid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</w:p>
    <w:p w14:paraId="5DA745C8" w14:textId="0483D108" w:rsidR="002D4646" w:rsidRPr="002D4646" w:rsidRDefault="002D4646" w:rsidP="002D4646">
      <w:pPr>
        <w:jc w:val="center"/>
        <w:rPr>
          <w:rFonts w:eastAsia="Times New Roman"/>
          <w:i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Schéma 4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. Synthèse du </w:t>
      </w:r>
      <w:proofErr w:type="spellStart"/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5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.</w:t>
      </w:r>
    </w:p>
    <w:p w14:paraId="752D050F" w14:textId="77777777" w:rsidR="002D4646" w:rsidRPr="002D4646" w:rsidRDefault="002D4646" w:rsidP="002D4646">
      <w:pPr>
        <w:rPr>
          <w:rFonts w:eastAsia="Times New Roman"/>
          <w:i/>
          <w:color w:val="000000"/>
          <w:spacing w:val="-3"/>
          <w:sz w:val="24"/>
          <w:szCs w:val="24"/>
          <w:lang w:val="fr-FR"/>
        </w:rPr>
      </w:pPr>
    </w:p>
    <w:p w14:paraId="5B2816DF" w14:textId="4FF6CCF0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iCs/>
          <w:color w:val="000000"/>
          <w:spacing w:val="-3"/>
          <w:sz w:val="24"/>
          <w:szCs w:val="24"/>
          <w:lang w:val="fr-FR"/>
        </w:rPr>
        <w:t>Q14-</w:t>
      </w:r>
      <w:r w:rsidRPr="002D4646">
        <w:rPr>
          <w:rFonts w:eastAsia="Times New Roman"/>
          <w:b/>
          <w:bCs/>
          <w:i/>
          <w:color w:val="000000"/>
          <w:spacing w:val="-3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Donner la structure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20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formé lors de la première étape et indiquer le type de réaction qui a permis son obtention.</w:t>
      </w:r>
    </w:p>
    <w:p w14:paraId="4A20F365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2C023DC2" w14:textId="6D264C38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Q15-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Donner la structure de l’intermédiaire ionique instable [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] obtenu à partir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20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 Proposer un mécanisme permettant d’expliquer sa formation.</w:t>
      </w:r>
    </w:p>
    <w:p w14:paraId="7146FB13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6D07FFA9" w14:textId="4B1AF61F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Q16-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un mécanisme réactionnel pour l’obtention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22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à partir de l’intermédiaire ionique [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].</w:t>
      </w:r>
    </w:p>
    <w:p w14:paraId="6460E497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4F405A11" w14:textId="77777777" w:rsid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Dans la suite de la synthèse, l’alcool allylique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23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obtenu par réduction 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22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est mis en réaction avec le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triméthylsilylacétylène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via une réaction de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Sonogashira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catalysée par le palladium, pour conduire au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(Schéma 4). Le mécanisme de cette réaction de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Sonogashira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peut être décrit 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via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un cycle catalytique simplifié faisant intervenir quatre étapes (Schéma 5</w:t>
      </w:r>
      <w:proofErr w:type="gramStart"/>
      <w:r w:rsidRPr="002D4646">
        <w:rPr>
          <w:rFonts w:eastAsia="Times New Roman"/>
          <w:color w:val="000000"/>
          <w:sz w:val="24"/>
          <w:szCs w:val="24"/>
          <w:lang w:val="fr-FR"/>
        </w:rPr>
        <w:t>)</w:t>
      </w:r>
      <w:r>
        <w:rPr>
          <w:rFonts w:eastAsia="Times New Roman"/>
          <w:color w:val="000000"/>
          <w:sz w:val="24"/>
          <w:szCs w:val="24"/>
          <w:lang w:val="fr-FR"/>
        </w:rPr>
        <w:t xml:space="preserve"> .</w:t>
      </w:r>
      <w:proofErr w:type="gramEnd"/>
      <w:r>
        <w:rPr>
          <w:rFonts w:eastAsia="Times New Roman"/>
          <w:color w:val="000000"/>
          <w:sz w:val="24"/>
          <w:szCs w:val="24"/>
          <w:lang w:val="fr-FR"/>
        </w:rPr>
        <w:t xml:space="preserve"> </w:t>
      </w:r>
    </w:p>
    <w:p w14:paraId="72F812D9" w14:textId="1A3DC878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20CE949" wp14:editId="7E8C91BC">
            <wp:simplePos x="0" y="0"/>
            <wp:positionH relativeFrom="column">
              <wp:posOffset>1184467</wp:posOffset>
            </wp:positionH>
            <wp:positionV relativeFrom="paragraph">
              <wp:posOffset>5774</wp:posOffset>
            </wp:positionV>
            <wp:extent cx="3512997" cy="3108960"/>
            <wp:effectExtent l="0" t="0" r="0" b="0"/>
            <wp:wrapNone/>
            <wp:docPr id="25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test1"/>
                    <pic:cNvPicPr preferRelativeResize="0"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2997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F7FBA1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117D1F71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82BDE43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15FA6A43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42CB4F7A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CB4CB92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EF26820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4913D10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52E05372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2EE24F1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050BF3F1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369A157B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5036F19B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66DFA15F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2C3EA017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79905F61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32A801F4" w14:textId="77777777" w:rsidR="002D4646" w:rsidRPr="002D4646" w:rsidRDefault="002D4646" w:rsidP="002D4646">
      <w:pPr>
        <w:rPr>
          <w:sz w:val="24"/>
          <w:szCs w:val="24"/>
          <w:lang w:val="fr-FR"/>
        </w:rPr>
      </w:pPr>
    </w:p>
    <w:p w14:paraId="725FAEE7" w14:textId="77777777" w:rsidR="002D4646" w:rsidRPr="002D4646" w:rsidRDefault="002D4646" w:rsidP="002D4646">
      <w:pPr>
        <w:jc w:val="center"/>
        <w:rPr>
          <w:rFonts w:eastAsia="Times New Roman"/>
          <w:i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z w:val="24"/>
          <w:szCs w:val="24"/>
          <w:lang w:val="fr-FR"/>
        </w:rPr>
        <w:t>Schéma 5</w:t>
      </w:r>
      <w:r w:rsidRPr="002D4646">
        <w:rPr>
          <w:rFonts w:eastAsia="Times New Roman"/>
          <w:i/>
          <w:color w:val="000000"/>
          <w:sz w:val="24"/>
          <w:szCs w:val="24"/>
          <w:lang w:val="fr-FR"/>
        </w:rPr>
        <w:t xml:space="preserve">. Cycle catalytique simplifié de la réaction de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Sonogashira</w:t>
      </w:r>
      <w:proofErr w:type="spellEnd"/>
    </w:p>
    <w:p w14:paraId="5BC5B5C6" w14:textId="77777777" w:rsidR="002D4646" w:rsidRPr="002D4646" w:rsidRDefault="002D4646" w:rsidP="002D4646">
      <w:pPr>
        <w:rPr>
          <w:rFonts w:eastAsia="Times New Roman"/>
          <w:i/>
          <w:color w:val="000000"/>
          <w:sz w:val="24"/>
          <w:szCs w:val="24"/>
          <w:lang w:val="fr-FR"/>
        </w:rPr>
      </w:pPr>
    </w:p>
    <w:p w14:paraId="4ADB4F76" w14:textId="77777777" w:rsidR="002D4646" w:rsidRPr="002D4646" w:rsidRDefault="002D4646" w:rsidP="002D4646">
      <w:pPr>
        <w:jc w:val="both"/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Q17-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Donner les noms des étapes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A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B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et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D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du cycle catalytique. Indiquer la variation du nombre d’oxydation formel du centre métallique pour chacune de ces étapes.</w:t>
      </w:r>
    </w:p>
    <w:p w14:paraId="5A84363C" w14:textId="77777777" w:rsidR="002D4646" w:rsidRPr="002D4646" w:rsidRDefault="002D4646" w:rsidP="002D4646">
      <w:pPr>
        <w:rPr>
          <w:rFonts w:eastAsia="Times New Roman"/>
          <w:i/>
          <w:color w:val="000000"/>
          <w:sz w:val="24"/>
          <w:szCs w:val="24"/>
          <w:lang w:val="fr-FR"/>
        </w:rPr>
      </w:pPr>
    </w:p>
    <w:p w14:paraId="1D2189DE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L’alcool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obtenu est alors transformé en bromure allylique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26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, qui permet de conduire au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par réaction au reflux du phosphite de 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triéthyle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(P(</w:t>
      </w:r>
      <w:proofErr w:type="spellStart"/>
      <w:r w:rsidRPr="002D4646">
        <w:rPr>
          <w:rFonts w:eastAsia="Times New Roman"/>
          <w:color w:val="000000"/>
          <w:sz w:val="24"/>
          <w:szCs w:val="24"/>
          <w:lang w:val="fr-FR"/>
        </w:rPr>
        <w:t>OEt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>)</w:t>
      </w:r>
      <w:r w:rsidRPr="002D4646">
        <w:rPr>
          <w:rFonts w:eastAsia="Times New Roman"/>
          <w:color w:val="000000"/>
          <w:sz w:val="24"/>
          <w:szCs w:val="24"/>
          <w:vertAlign w:val="subscript"/>
          <w:lang w:val="fr-FR"/>
        </w:rPr>
        <w:t>3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 (Schéma 4).</w:t>
      </w:r>
    </w:p>
    <w:p w14:paraId="66306A74" w14:textId="77777777" w:rsidR="002D4646" w:rsidRDefault="002D4646" w:rsidP="002D4646">
      <w:pPr>
        <w:rPr>
          <w:rFonts w:eastAsia="Times New Roman"/>
          <w:b/>
          <w:bCs/>
          <w:color w:val="000000"/>
          <w:sz w:val="24"/>
          <w:szCs w:val="24"/>
          <w:lang w:val="fr-FR"/>
        </w:rPr>
      </w:pPr>
    </w:p>
    <w:p w14:paraId="2AB2DCF8" w14:textId="71BFCD35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Q18-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deux méthodes différentes (réactif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25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pour transformer l’alcool allylique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24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en bromure allylique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26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 Quelles seraient les conditions les plus adaptées dans le cas de cette synthèse ?</w:t>
      </w:r>
    </w:p>
    <w:p w14:paraId="0D1C9B6C" w14:textId="77777777" w:rsidR="002D4646" w:rsidRDefault="002D4646" w:rsidP="002D4646">
      <w:pPr>
        <w:rPr>
          <w:rFonts w:eastAsia="Arial"/>
          <w:b/>
          <w:i/>
          <w:color w:val="000000"/>
          <w:sz w:val="24"/>
          <w:szCs w:val="24"/>
          <w:lang w:val="fr-FR"/>
        </w:rPr>
      </w:pPr>
    </w:p>
    <w:p w14:paraId="503BC094" w14:textId="77777777" w:rsidR="002D4646" w:rsidRDefault="002D4646" w:rsidP="002D4646">
      <w:pPr>
        <w:rPr>
          <w:rFonts w:eastAsia="Arial"/>
          <w:b/>
          <w:i/>
          <w:color w:val="000000"/>
          <w:sz w:val="24"/>
          <w:szCs w:val="24"/>
          <w:lang w:val="fr-FR"/>
        </w:rPr>
      </w:pPr>
    </w:p>
    <w:p w14:paraId="2AD3EF56" w14:textId="1D8346B1" w:rsidR="002D4646" w:rsidRDefault="002D4646" w:rsidP="002D4646">
      <w:pPr>
        <w:rPr>
          <w:rFonts w:eastAsia="Arial"/>
          <w:b/>
          <w:i/>
          <w:color w:val="000000"/>
          <w:sz w:val="24"/>
          <w:szCs w:val="24"/>
          <w:lang w:val="fr-FR"/>
        </w:rPr>
      </w:pPr>
      <w:r w:rsidRPr="002D4646">
        <w:rPr>
          <w:rFonts w:eastAsia="Arial"/>
          <w:b/>
          <w:i/>
          <w:color w:val="000000"/>
          <w:sz w:val="24"/>
          <w:szCs w:val="24"/>
          <w:lang w:val="fr-FR"/>
        </w:rPr>
        <w:t>Synthèse de l’iodure vinylique 3</w:t>
      </w:r>
    </w:p>
    <w:p w14:paraId="06BE639D" w14:textId="77777777" w:rsidR="002D4646" w:rsidRPr="002D4646" w:rsidRDefault="002D4646" w:rsidP="002D4646">
      <w:pPr>
        <w:rPr>
          <w:rFonts w:eastAsia="Arial"/>
          <w:b/>
          <w:i/>
          <w:color w:val="000000"/>
          <w:sz w:val="24"/>
          <w:szCs w:val="24"/>
          <w:lang w:val="fr-FR"/>
        </w:rPr>
      </w:pPr>
    </w:p>
    <w:p w14:paraId="2F9DC8D1" w14:textId="37DFD04D" w:rsidR="002D4646" w:rsidRPr="002D4646" w:rsidRDefault="002D4646" w:rsidP="002D4646">
      <w:pPr>
        <w:rPr>
          <w:rFonts w:eastAsia="Times New Roman"/>
          <w:color w:val="000000"/>
          <w:spacing w:val="-1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L’aldéhyde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27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a été obtenu à partir de l’aldéhyde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4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et du </w:t>
      </w:r>
      <w:proofErr w:type="spellStart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phosphonate</w:t>
      </w:r>
      <w:proofErr w:type="spellEnd"/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5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par une suite de réactions qui ne sont pas détaillées ici (Schéma 6). Cet aldéhyde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27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a ensuite été transformé en iodure vinylique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3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en quelques étapes que nous allons étudier. Il subit dans un premier temps une réaction d’oxydation, en utilisant du chlorite de sodium NaClO2, pour conduire à l’acide carboxylique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28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qui est ensuite transformé en diol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29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en trois étapes, l’une de ces trois étapes étant une hydrolyse acide de l’acétal présent dans le composé </w:t>
      </w:r>
      <w:r w:rsidRPr="002D4646">
        <w:rPr>
          <w:rFonts w:eastAsia="Times New Roman"/>
          <w:b/>
          <w:color w:val="000000"/>
          <w:spacing w:val="-1"/>
          <w:sz w:val="24"/>
          <w:szCs w:val="24"/>
          <w:lang w:val="fr-FR"/>
        </w:rPr>
        <w:t xml:space="preserve">28 </w:t>
      </w:r>
      <w:r w:rsidRPr="002D4646">
        <w:rPr>
          <w:rFonts w:eastAsia="Times New Roman"/>
          <w:color w:val="000000"/>
          <w:spacing w:val="-1"/>
          <w:sz w:val="24"/>
          <w:szCs w:val="24"/>
          <w:lang w:val="fr-FR"/>
        </w:rPr>
        <w:t>par l’acide éthanoïque aqueux</w:t>
      </w:r>
      <w:r>
        <w:rPr>
          <w:rFonts w:eastAsia="Times New Roman"/>
          <w:color w:val="000000"/>
          <w:spacing w:val="-1"/>
          <w:sz w:val="24"/>
          <w:szCs w:val="24"/>
          <w:lang w:val="fr-FR"/>
        </w:rPr>
        <w:t xml:space="preserve">. </w:t>
      </w:r>
    </w:p>
    <w:p w14:paraId="532DC35B" w14:textId="77777777" w:rsidR="002D4646" w:rsidRPr="002D4646" w:rsidRDefault="002D4646" w:rsidP="002D4646">
      <w:pPr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</w:pPr>
      <w:r w:rsidRPr="002D4646"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589D6EAB" wp14:editId="2AAB6B8A">
            <wp:simplePos x="0" y="0"/>
            <wp:positionH relativeFrom="column">
              <wp:posOffset>776177</wp:posOffset>
            </wp:positionH>
            <wp:positionV relativeFrom="paragraph">
              <wp:posOffset>104199</wp:posOffset>
            </wp:positionV>
            <wp:extent cx="4916805" cy="3815715"/>
            <wp:effectExtent l="0" t="0" r="0" b="0"/>
            <wp:wrapTopAndBottom/>
            <wp:docPr id="14" name="pi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test1"/>
                    <pic:cNvPicPr preferRelativeResize="0"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6805" cy="381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AC5433" w14:textId="77777777" w:rsidR="002D4646" w:rsidRPr="002D4646" w:rsidRDefault="002D4646" w:rsidP="002D4646">
      <w:pPr>
        <w:jc w:val="center"/>
        <w:rPr>
          <w:rFonts w:eastAsia="Times New Roman"/>
          <w:i/>
          <w:color w:val="000000"/>
          <w:spacing w:val="-3"/>
          <w:sz w:val="24"/>
          <w:szCs w:val="24"/>
          <w:lang w:val="fr-FR"/>
        </w:rPr>
      </w:pP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Schéma 6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 xml:space="preserve">. Fin de la synthèse de l’iodure vinylique </w:t>
      </w:r>
      <w:r w:rsidRPr="002D4646">
        <w:rPr>
          <w:rFonts w:eastAsia="Times New Roman"/>
          <w:b/>
          <w:i/>
          <w:color w:val="000000"/>
          <w:spacing w:val="-3"/>
          <w:sz w:val="24"/>
          <w:szCs w:val="24"/>
          <w:lang w:val="fr-FR"/>
        </w:rPr>
        <w:t>3</w:t>
      </w:r>
      <w:r w:rsidRPr="002D4646">
        <w:rPr>
          <w:rFonts w:eastAsia="Times New Roman"/>
          <w:i/>
          <w:color w:val="000000"/>
          <w:spacing w:val="-3"/>
          <w:sz w:val="24"/>
          <w:szCs w:val="24"/>
          <w:lang w:val="fr-FR"/>
        </w:rPr>
        <w:t>.</w:t>
      </w:r>
    </w:p>
    <w:p w14:paraId="7726EFB5" w14:textId="77777777" w:rsidR="002D4646" w:rsidRPr="002D4646" w:rsidRDefault="002D4646" w:rsidP="002D4646">
      <w:pPr>
        <w:rPr>
          <w:rFonts w:eastAsia="Times New Roman"/>
          <w:color w:val="000000"/>
          <w:spacing w:val="-2"/>
          <w:sz w:val="24"/>
          <w:szCs w:val="24"/>
          <w:lang w:val="fr-FR"/>
        </w:rPr>
      </w:pPr>
    </w:p>
    <w:p w14:paraId="2BC6E206" w14:textId="77777777" w:rsidR="002D4646" w:rsidRPr="002D4646" w:rsidRDefault="002D4646" w:rsidP="002D4646">
      <w:pPr>
        <w:rPr>
          <w:rFonts w:eastAsia="Times New Roman"/>
          <w:color w:val="000000"/>
          <w:spacing w:val="-2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pacing w:val="-2"/>
          <w:sz w:val="24"/>
          <w:szCs w:val="24"/>
          <w:lang w:val="fr-FR"/>
        </w:rPr>
        <w:t xml:space="preserve">Q19- 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>Proposer une structure de Lewis de l’ion chlorite ClO</w:t>
      </w:r>
      <w:r w:rsidRPr="002D4646">
        <w:rPr>
          <w:rFonts w:eastAsia="Times New Roman"/>
          <w:color w:val="000000"/>
          <w:spacing w:val="-2"/>
          <w:sz w:val="24"/>
          <w:szCs w:val="24"/>
          <w:vertAlign w:val="subscript"/>
          <w:lang w:val="fr-FR"/>
        </w:rPr>
        <w:t>2</w:t>
      </w:r>
      <w:r w:rsidRPr="002D4646">
        <w:rPr>
          <w:rFonts w:eastAsia="Times New Roman"/>
          <w:color w:val="000000"/>
          <w:spacing w:val="-2"/>
          <w:sz w:val="24"/>
          <w:szCs w:val="24"/>
          <w:vertAlign w:val="superscript"/>
          <w:lang w:val="fr-FR"/>
        </w:rPr>
        <w:t>–</w:t>
      </w:r>
      <w:r w:rsidRPr="002D4646">
        <w:rPr>
          <w:rFonts w:eastAsia="Times New Roman"/>
          <w:color w:val="000000"/>
          <w:spacing w:val="-2"/>
          <w:sz w:val="24"/>
          <w:szCs w:val="24"/>
          <w:lang w:val="fr-FR"/>
        </w:rPr>
        <w:t>.</w:t>
      </w:r>
    </w:p>
    <w:p w14:paraId="07D9CFFB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4A0C94D1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Q20-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Expliquer pourquoi un mélange des deux solvants </w:t>
      </w:r>
      <w:proofErr w:type="spellStart"/>
      <w:r w:rsidRPr="002D4646">
        <w:rPr>
          <w:rFonts w:eastAsia="Times New Roman"/>
          <w:i/>
          <w:color w:val="000000"/>
          <w:sz w:val="24"/>
          <w:szCs w:val="24"/>
          <w:lang w:val="fr-FR"/>
        </w:rPr>
        <w:t>tert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-butanol/eau est employé lors de la réaction de formation de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28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</w:t>
      </w:r>
    </w:p>
    <w:p w14:paraId="5FB5FE73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63EF6A86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Q21-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Proposer un mécanisme pour l’hydrolyse en milieu acide de la fonction acétal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28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(on utilisera une notation simplifiée pour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28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).</w:t>
      </w:r>
    </w:p>
    <w:p w14:paraId="72D69455" w14:textId="2046EE45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L’alcool primaire du diol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29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est ensuite réduit en alcane en deux étapes pour conduire au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qui est finalement transformé en iodure vinylique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(Schéma 6).</w:t>
      </w:r>
    </w:p>
    <w:p w14:paraId="5C2F8DCE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2D05722C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>Q22-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Donner la structure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30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. Expliquer la régiosélectivité de cette réaction.</w:t>
      </w:r>
    </w:p>
    <w:p w14:paraId="44F9CE09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3E62171F" w14:textId="77777777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b/>
          <w:bCs/>
          <w:color w:val="000000"/>
          <w:sz w:val="24"/>
          <w:szCs w:val="24"/>
          <w:lang w:val="fr-FR"/>
        </w:rPr>
        <w:t xml:space="preserve">Q23-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Quel type de réaction permet d’obtenir le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31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à partir du composé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30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? Aurait-on pu utiliser de l’hydrure de sodium à la place du borohydrure de sodium ? Justifier.</w:t>
      </w:r>
    </w:p>
    <w:p w14:paraId="266B4FA9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73E9157D" w14:textId="77777777" w:rsid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</w:p>
    <w:p w14:paraId="541DD0A9" w14:textId="7DDBCA34" w:rsidR="002D4646" w:rsidRPr="002D4646" w:rsidRDefault="002D4646" w:rsidP="002D4646">
      <w:pPr>
        <w:rPr>
          <w:rFonts w:eastAsia="Times New Roman"/>
          <w:color w:val="000000"/>
          <w:sz w:val="24"/>
          <w:szCs w:val="24"/>
          <w:lang w:val="fr-FR"/>
        </w:rPr>
      </w:pPr>
      <w:r w:rsidRPr="002D4646">
        <w:rPr>
          <w:rFonts w:eastAsia="Times New Roman"/>
          <w:color w:val="000000"/>
          <w:sz w:val="24"/>
          <w:szCs w:val="24"/>
          <w:lang w:val="fr-FR"/>
        </w:rPr>
        <w:t>Finalement, la (</w:t>
      </w:r>
      <w:proofErr w:type="gramStart"/>
      <w:r w:rsidRPr="002D4646">
        <w:rPr>
          <w:rFonts w:eastAsia="Times New Roman"/>
          <w:color w:val="000000"/>
          <w:sz w:val="24"/>
          <w:szCs w:val="24"/>
          <w:lang w:val="fr-FR"/>
        </w:rPr>
        <w:t>+)-</w:t>
      </w:r>
      <w:proofErr w:type="spellStart"/>
      <w:proofErr w:type="gramEnd"/>
      <w:r w:rsidRPr="002D4646">
        <w:rPr>
          <w:rFonts w:eastAsia="Times New Roman"/>
          <w:color w:val="000000"/>
          <w:sz w:val="24"/>
          <w:szCs w:val="24"/>
          <w:lang w:val="fr-FR"/>
        </w:rPr>
        <w:t>tubélactomicine</w:t>
      </w:r>
      <w:proofErr w:type="spellEnd"/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 A (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>1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) a été synthétisée, en quelques étapes, qui ne seront pas étudiées ici, par couplage, catalysé par le palladium, des composés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2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 xml:space="preserve">et </w:t>
      </w:r>
      <w:r w:rsidRPr="002D4646">
        <w:rPr>
          <w:rFonts w:eastAsia="Times New Roman"/>
          <w:b/>
          <w:color w:val="000000"/>
          <w:sz w:val="24"/>
          <w:szCs w:val="24"/>
          <w:lang w:val="fr-FR"/>
        </w:rPr>
        <w:t xml:space="preserve">3 </w:t>
      </w:r>
      <w:r w:rsidRPr="002D4646">
        <w:rPr>
          <w:rFonts w:eastAsia="Times New Roman"/>
          <w:color w:val="000000"/>
          <w:sz w:val="24"/>
          <w:szCs w:val="24"/>
          <w:lang w:val="fr-FR"/>
        </w:rPr>
        <w:t>(Schéma 1, page 1) suivi de réactions de fonctionnalisation.</w:t>
      </w:r>
    </w:p>
    <w:p w14:paraId="4A278B2D" w14:textId="6A13116A" w:rsidR="00723926" w:rsidRDefault="00723926" w:rsidP="002D4646">
      <w:pPr>
        <w:rPr>
          <w:sz w:val="24"/>
          <w:szCs w:val="24"/>
          <w:lang w:val="fr-FR"/>
        </w:rPr>
      </w:pPr>
    </w:p>
    <w:p w14:paraId="78900810" w14:textId="43936E33" w:rsidR="00723926" w:rsidRDefault="00723926" w:rsidP="00723926">
      <w:pPr>
        <w:jc w:val="center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*****FIN*****</w:t>
      </w:r>
    </w:p>
    <w:p w14:paraId="27C809D5" w14:textId="77777777" w:rsidR="00FD7DA2" w:rsidRDefault="00FD7DA2" w:rsidP="002D4646">
      <w:pPr>
        <w:rPr>
          <w:sz w:val="24"/>
          <w:szCs w:val="24"/>
          <w:lang w:val="fr-FR"/>
        </w:rPr>
      </w:pPr>
    </w:p>
    <w:p w14:paraId="3CF829CE" w14:textId="77777777" w:rsidR="00FD7DA2" w:rsidRDefault="00FD7DA2" w:rsidP="002D4646">
      <w:pPr>
        <w:rPr>
          <w:sz w:val="24"/>
          <w:szCs w:val="24"/>
          <w:lang w:val="fr-FR"/>
        </w:rPr>
      </w:pPr>
    </w:p>
    <w:p w14:paraId="198DFDB7" w14:textId="219F3D91" w:rsidR="00FD7DA2" w:rsidRDefault="00FD7DA2" w:rsidP="002D4646">
      <w:pPr>
        <w:rPr>
          <w:rFonts w:ascii="ArialNarrow-Bold" w:eastAsia="Calibri" w:hAnsi="ArialNarrow-Bold" w:cs="ArialNarrow-Bold"/>
          <w:b/>
          <w:bCs/>
          <w:sz w:val="32"/>
          <w:szCs w:val="32"/>
          <w:lang w:val="fr-FR"/>
        </w:rPr>
      </w:pPr>
      <w:r>
        <w:rPr>
          <w:rFonts w:ascii="ArialNarrow-Bold" w:eastAsia="Calibri" w:hAnsi="ArialNarrow-Bold" w:cs="ArialNarrow-Bold"/>
          <w:b/>
          <w:bCs/>
          <w:sz w:val="32"/>
          <w:szCs w:val="32"/>
          <w:lang w:val="fr-FR"/>
        </w:rPr>
        <w:t>Annexes</w:t>
      </w:r>
    </w:p>
    <w:p w14:paraId="7509A6BC" w14:textId="77777777" w:rsidR="00CE7B12" w:rsidRPr="00CE7B12" w:rsidRDefault="00CE7B12" w:rsidP="002D4646">
      <w:pPr>
        <w:rPr>
          <w:rFonts w:ascii="ArialNarrow-Bold" w:eastAsia="Calibri" w:hAnsi="ArialNarrow-Bold" w:cs="ArialNarrow-Bold"/>
          <w:b/>
          <w:bCs/>
          <w:sz w:val="32"/>
          <w:szCs w:val="32"/>
          <w:lang w:val="fr-FR"/>
        </w:rPr>
      </w:pPr>
    </w:p>
    <w:p w14:paraId="63C94730" w14:textId="77777777" w:rsidR="00FD7DA2" w:rsidRPr="00FD7DA2" w:rsidRDefault="00FD7DA2" w:rsidP="00FD7DA2">
      <w:pPr>
        <w:autoSpaceDE w:val="0"/>
        <w:autoSpaceDN w:val="0"/>
        <w:adjustRightInd w:val="0"/>
        <w:rPr>
          <w:rFonts w:eastAsia="Calibri"/>
          <w:i/>
          <w:iCs/>
          <w:sz w:val="24"/>
          <w:szCs w:val="24"/>
          <w:lang w:val="fr-FR"/>
        </w:rPr>
      </w:pPr>
      <w:r w:rsidRPr="00FD7DA2">
        <w:rPr>
          <w:rFonts w:eastAsia="Calibri"/>
          <w:b/>
          <w:bCs/>
          <w:i/>
          <w:iCs/>
          <w:sz w:val="24"/>
          <w:szCs w:val="24"/>
          <w:lang w:val="fr-FR"/>
        </w:rPr>
        <w:t>Annexe 3</w:t>
      </w:r>
      <w:r w:rsidRPr="00FD7DA2">
        <w:rPr>
          <w:rFonts w:eastAsia="Calibri"/>
          <w:i/>
          <w:iCs/>
          <w:sz w:val="24"/>
          <w:szCs w:val="24"/>
          <w:lang w:val="fr-FR"/>
        </w:rPr>
        <w:t>. Constantes d’acidité à 25 °C (R est une chaine alkyle).</w:t>
      </w:r>
    </w:p>
    <w:p w14:paraId="5666D41C" w14:textId="28CBF5F0" w:rsidR="00FD7DA2" w:rsidRPr="00FD7DA2" w:rsidRDefault="00FD7DA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  <w:lang w:val="fr-FR"/>
        </w:rPr>
      </w:pPr>
      <w:proofErr w:type="spellStart"/>
      <w:proofErr w:type="gramStart"/>
      <w:r w:rsidRPr="00FD7DA2">
        <w:rPr>
          <w:rFonts w:eastAsia="CambriaMath"/>
          <w:sz w:val="24"/>
          <w:szCs w:val="24"/>
          <w:lang w:val="fr-FR"/>
        </w:rPr>
        <w:t>pKa</w:t>
      </w:r>
      <w:proofErr w:type="spellEnd"/>
      <w:r w:rsidRPr="00FD7DA2">
        <w:rPr>
          <w:rFonts w:eastAsia="TimesNewRomanPSMT"/>
          <w:sz w:val="24"/>
          <w:szCs w:val="24"/>
          <w:lang w:val="fr-FR"/>
        </w:rPr>
        <w:t>(</w:t>
      </w:r>
      <w:proofErr w:type="gramEnd"/>
      <w:r w:rsidRPr="00FD7DA2">
        <w:rPr>
          <w:rFonts w:eastAsia="TimesNewRomanPSMT"/>
          <w:sz w:val="24"/>
          <w:szCs w:val="24"/>
          <w:lang w:val="fr-FR"/>
        </w:rPr>
        <w:t>RCO</w:t>
      </w:r>
      <w:r w:rsidRPr="00FD7DA2">
        <w:rPr>
          <w:rFonts w:eastAsia="TimesNewRomanPSMT"/>
          <w:sz w:val="24"/>
          <w:szCs w:val="24"/>
          <w:vertAlign w:val="subscript"/>
          <w:lang w:val="fr-FR"/>
        </w:rPr>
        <w:t>2</w:t>
      </w:r>
      <w:r w:rsidRPr="00FD7DA2">
        <w:rPr>
          <w:rFonts w:eastAsia="TimesNewRomanPSMT"/>
          <w:sz w:val="24"/>
          <w:szCs w:val="24"/>
          <w:lang w:val="fr-FR"/>
        </w:rPr>
        <w:t>H/RCO</w:t>
      </w:r>
      <w:r w:rsidRPr="00FD7DA2">
        <w:rPr>
          <w:rFonts w:eastAsia="TimesNewRomanPSMT"/>
          <w:sz w:val="24"/>
          <w:szCs w:val="24"/>
          <w:vertAlign w:val="subscript"/>
          <w:lang w:val="fr-FR"/>
        </w:rPr>
        <w:t>2</w:t>
      </w:r>
      <w:r w:rsidRPr="00FD7DA2">
        <w:rPr>
          <w:rFonts w:eastAsia="TimesNewRomanPSMT"/>
          <w:sz w:val="24"/>
          <w:szCs w:val="24"/>
          <w:lang w:val="fr-FR"/>
        </w:rPr>
        <w:t xml:space="preserve">–) </w:t>
      </w:r>
      <w:r w:rsidRPr="00FD7DA2">
        <w:rPr>
          <w:rFonts w:eastAsia="CambriaMath"/>
          <w:sz w:val="24"/>
          <w:szCs w:val="24"/>
          <w:lang w:val="fr-FR"/>
        </w:rPr>
        <w:t xml:space="preserve">≈ </w:t>
      </w:r>
      <w:r w:rsidRPr="00FD7DA2">
        <w:rPr>
          <w:rFonts w:eastAsia="TimesNewRomanPSMT"/>
          <w:sz w:val="24"/>
          <w:szCs w:val="24"/>
          <w:lang w:val="fr-FR"/>
        </w:rPr>
        <w:t>4 ;</w:t>
      </w:r>
      <w:r w:rsidR="00CE7B12">
        <w:rPr>
          <w:rFonts w:eastAsia="TimesNewRomanPSMT"/>
          <w:sz w:val="24"/>
          <w:szCs w:val="24"/>
          <w:lang w:val="fr-FR"/>
        </w:rPr>
        <w:t xml:space="preserve">              </w:t>
      </w:r>
      <w:proofErr w:type="spellStart"/>
      <w:r w:rsidRPr="00FD7DA2">
        <w:rPr>
          <w:rFonts w:eastAsia="CambriaMath"/>
          <w:sz w:val="24"/>
          <w:szCs w:val="24"/>
          <w:lang w:val="fr-FR"/>
        </w:rPr>
        <w:t>pKa</w:t>
      </w:r>
      <w:proofErr w:type="spellEnd"/>
      <w:r w:rsidRPr="00FD7DA2">
        <w:rPr>
          <w:rFonts w:eastAsia="TimesNewRomanPSMT"/>
          <w:sz w:val="24"/>
          <w:szCs w:val="24"/>
          <w:lang w:val="fr-FR"/>
        </w:rPr>
        <w:t xml:space="preserve">(ROH/RO–) </w:t>
      </w:r>
      <w:r w:rsidRPr="00FD7DA2">
        <w:rPr>
          <w:rFonts w:eastAsia="CambriaMath"/>
          <w:sz w:val="24"/>
          <w:szCs w:val="24"/>
          <w:lang w:val="fr-FR"/>
        </w:rPr>
        <w:t xml:space="preserve">≈ </w:t>
      </w:r>
      <w:r w:rsidRPr="00FD7DA2">
        <w:rPr>
          <w:rFonts w:eastAsia="TimesNewRomanPSMT"/>
          <w:sz w:val="24"/>
          <w:szCs w:val="24"/>
          <w:lang w:val="fr-FR"/>
        </w:rPr>
        <w:t>17 ;</w:t>
      </w:r>
    </w:p>
    <w:p w14:paraId="684C51F9" w14:textId="16A0FCC2" w:rsidR="00FD7DA2" w:rsidRPr="00FD7DA2" w:rsidRDefault="00FD7DA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proofErr w:type="spellStart"/>
      <w:r w:rsidRPr="00FD7DA2">
        <w:rPr>
          <w:rFonts w:eastAsia="CambriaMath"/>
          <w:sz w:val="24"/>
          <w:szCs w:val="24"/>
        </w:rPr>
        <w:t>pKa</w:t>
      </w:r>
      <w:proofErr w:type="spellEnd"/>
      <w:r w:rsidRPr="00FD7DA2">
        <w:rPr>
          <w:rFonts w:eastAsia="TimesNewRomanPSMT"/>
          <w:sz w:val="24"/>
          <w:szCs w:val="24"/>
        </w:rPr>
        <w:t>(H</w:t>
      </w:r>
      <w:r w:rsidRPr="00FD7DA2">
        <w:rPr>
          <w:rFonts w:eastAsia="TimesNewRomanPSMT"/>
          <w:sz w:val="24"/>
          <w:szCs w:val="24"/>
          <w:vertAlign w:val="subscript"/>
        </w:rPr>
        <w:t>3</w:t>
      </w:r>
      <w:r w:rsidRPr="00FD7DA2">
        <w:rPr>
          <w:rFonts w:eastAsia="TimesNewRomanPSMT"/>
          <w:sz w:val="24"/>
          <w:szCs w:val="24"/>
        </w:rPr>
        <w:t>O+/H</w:t>
      </w:r>
      <w:r w:rsidRPr="00FD7DA2">
        <w:rPr>
          <w:rFonts w:eastAsia="TimesNewRomanPSMT"/>
          <w:sz w:val="24"/>
          <w:szCs w:val="24"/>
          <w:vertAlign w:val="subscript"/>
        </w:rPr>
        <w:t>2</w:t>
      </w:r>
      <w:r w:rsidRPr="00FD7DA2">
        <w:rPr>
          <w:rFonts w:eastAsia="TimesNewRomanPSMT"/>
          <w:sz w:val="24"/>
          <w:szCs w:val="24"/>
        </w:rPr>
        <w:t xml:space="preserve">O) = </w:t>
      </w:r>
      <w:proofErr w:type="gramStart"/>
      <w:r w:rsidRPr="00FD7DA2">
        <w:rPr>
          <w:rFonts w:eastAsia="TimesNewRomanPSMT"/>
          <w:sz w:val="24"/>
          <w:szCs w:val="24"/>
        </w:rPr>
        <w:t>0 ;</w:t>
      </w:r>
      <w:proofErr w:type="gramEnd"/>
      <w:r w:rsidR="00CE7B12">
        <w:rPr>
          <w:rFonts w:eastAsia="TimesNewRomanPSMT"/>
          <w:sz w:val="24"/>
          <w:szCs w:val="24"/>
        </w:rPr>
        <w:t xml:space="preserve">                     </w:t>
      </w:r>
      <w:proofErr w:type="spellStart"/>
      <w:r w:rsidRPr="00FD7DA2">
        <w:rPr>
          <w:rFonts w:eastAsia="CambriaMath"/>
          <w:sz w:val="24"/>
          <w:szCs w:val="24"/>
        </w:rPr>
        <w:t>pKa</w:t>
      </w:r>
      <w:proofErr w:type="spellEnd"/>
      <w:r w:rsidRPr="00FD7DA2">
        <w:rPr>
          <w:rFonts w:eastAsia="TimesNewRomanPSMT"/>
          <w:sz w:val="24"/>
          <w:szCs w:val="24"/>
        </w:rPr>
        <w:t>(H</w:t>
      </w:r>
      <w:r w:rsidRPr="00FD7DA2">
        <w:rPr>
          <w:rFonts w:eastAsia="TimesNewRomanPSMT"/>
          <w:sz w:val="24"/>
          <w:szCs w:val="24"/>
          <w:vertAlign w:val="subscript"/>
        </w:rPr>
        <w:t>2</w:t>
      </w:r>
      <w:r w:rsidRPr="00FD7DA2">
        <w:rPr>
          <w:rFonts w:eastAsia="TimesNewRomanPSMT"/>
          <w:sz w:val="24"/>
          <w:szCs w:val="24"/>
        </w:rPr>
        <w:t>O/HO–) = 14 ;</w:t>
      </w:r>
    </w:p>
    <w:p w14:paraId="144D348F" w14:textId="4BF61734" w:rsidR="00FD7DA2" w:rsidRPr="00CE7B12" w:rsidRDefault="00FD7DA2" w:rsidP="00CE7B12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proofErr w:type="spellStart"/>
      <w:proofErr w:type="gramStart"/>
      <w:r w:rsidRPr="00FD7DA2">
        <w:rPr>
          <w:rFonts w:eastAsia="CambriaMath"/>
          <w:sz w:val="24"/>
          <w:szCs w:val="24"/>
        </w:rPr>
        <w:t>pKa</w:t>
      </w:r>
      <w:proofErr w:type="spellEnd"/>
      <w:r w:rsidRPr="00FD7DA2">
        <w:rPr>
          <w:rFonts w:eastAsia="TimesNewRomanPSMT"/>
          <w:sz w:val="24"/>
          <w:szCs w:val="24"/>
        </w:rPr>
        <w:t>(</w:t>
      </w:r>
      <w:proofErr w:type="gramEnd"/>
      <w:r w:rsidRPr="00FD7DA2">
        <w:rPr>
          <w:rFonts w:eastAsia="TimesNewRomanPSMT"/>
          <w:sz w:val="24"/>
          <w:szCs w:val="24"/>
        </w:rPr>
        <w:t>RH/R</w:t>
      </w:r>
      <w:r w:rsidRPr="00FD7DA2">
        <w:rPr>
          <w:rFonts w:eastAsia="TimesNewRomanPSMT"/>
          <w:sz w:val="24"/>
          <w:szCs w:val="24"/>
          <w:vertAlign w:val="superscript"/>
        </w:rPr>
        <w:t>–</w:t>
      </w:r>
      <w:r w:rsidRPr="00FD7DA2">
        <w:rPr>
          <w:rFonts w:eastAsia="TimesNewRomanPSMT"/>
          <w:sz w:val="24"/>
          <w:szCs w:val="24"/>
        </w:rPr>
        <w:t xml:space="preserve">) </w:t>
      </w:r>
      <w:r w:rsidRPr="00FD7DA2">
        <w:rPr>
          <w:rFonts w:eastAsia="CambriaMath"/>
          <w:sz w:val="24"/>
          <w:szCs w:val="24"/>
        </w:rPr>
        <w:t xml:space="preserve">≈ </w:t>
      </w:r>
      <w:r w:rsidRPr="00FD7DA2">
        <w:rPr>
          <w:rFonts w:eastAsia="TimesNewRomanPSMT"/>
          <w:sz w:val="24"/>
          <w:szCs w:val="24"/>
        </w:rPr>
        <w:t>50 ;</w:t>
      </w:r>
      <w:r w:rsidR="00CE7B12">
        <w:rPr>
          <w:rFonts w:eastAsia="TimesNewRomanPSMT"/>
          <w:sz w:val="24"/>
          <w:szCs w:val="24"/>
        </w:rPr>
        <w:t xml:space="preserve">                         </w:t>
      </w:r>
      <w:proofErr w:type="spellStart"/>
      <w:r w:rsidRPr="00FD7DA2">
        <w:rPr>
          <w:rFonts w:eastAsia="CambriaMath"/>
          <w:sz w:val="24"/>
          <w:szCs w:val="24"/>
        </w:rPr>
        <w:t>pKa</w:t>
      </w:r>
      <w:proofErr w:type="spellEnd"/>
      <w:r w:rsidRPr="00FD7DA2">
        <w:rPr>
          <w:rFonts w:eastAsia="Calibri"/>
          <w:i/>
          <w:iCs/>
          <w:sz w:val="24"/>
          <w:szCs w:val="24"/>
        </w:rPr>
        <w:t>(</w:t>
      </w:r>
      <w:r w:rsidRPr="00FD7DA2">
        <w:rPr>
          <w:rFonts w:eastAsia="TimesNewRomanPSMT"/>
          <w:sz w:val="24"/>
          <w:szCs w:val="24"/>
        </w:rPr>
        <w:t>R</w:t>
      </w:r>
      <w:r w:rsidRPr="00FD7DA2">
        <w:rPr>
          <w:rFonts w:eastAsia="TimesNewRomanPSMT"/>
          <w:sz w:val="24"/>
          <w:szCs w:val="24"/>
          <w:vertAlign w:val="subscript"/>
        </w:rPr>
        <w:t>2</w:t>
      </w:r>
      <w:r w:rsidRPr="00FD7DA2">
        <w:rPr>
          <w:rFonts w:eastAsia="TimesNewRomanPSMT"/>
          <w:sz w:val="24"/>
          <w:szCs w:val="24"/>
        </w:rPr>
        <w:t>NH/R</w:t>
      </w:r>
      <w:r w:rsidRPr="00FD7DA2">
        <w:rPr>
          <w:rFonts w:eastAsia="TimesNewRomanPSMT"/>
          <w:sz w:val="24"/>
          <w:szCs w:val="24"/>
          <w:vertAlign w:val="subscript"/>
        </w:rPr>
        <w:t>2</w:t>
      </w:r>
      <w:r w:rsidRPr="00FD7DA2">
        <w:rPr>
          <w:rFonts w:eastAsia="TimesNewRomanPSMT"/>
          <w:sz w:val="24"/>
          <w:szCs w:val="24"/>
        </w:rPr>
        <w:t>N</w:t>
      </w:r>
      <w:r w:rsidRPr="00FD7DA2">
        <w:rPr>
          <w:rFonts w:eastAsia="TimesNewRomanPSMT"/>
          <w:sz w:val="24"/>
          <w:szCs w:val="24"/>
          <w:vertAlign w:val="superscript"/>
        </w:rPr>
        <w:t>–</w:t>
      </w:r>
      <w:r w:rsidRPr="00FD7DA2">
        <w:rPr>
          <w:rFonts w:eastAsia="TimesNewRomanPSMT"/>
          <w:sz w:val="24"/>
          <w:szCs w:val="24"/>
        </w:rPr>
        <w:t xml:space="preserve">) </w:t>
      </w:r>
      <w:r w:rsidRPr="00FD7DA2">
        <w:rPr>
          <w:rFonts w:eastAsia="CambriaMath"/>
          <w:sz w:val="24"/>
          <w:szCs w:val="24"/>
        </w:rPr>
        <w:t xml:space="preserve">≈ </w:t>
      </w:r>
      <w:r w:rsidRPr="00FD7DA2">
        <w:rPr>
          <w:rFonts w:eastAsia="TimesNewRomanPSMT"/>
          <w:sz w:val="24"/>
          <w:szCs w:val="24"/>
        </w:rPr>
        <w:t>36 ;</w:t>
      </w:r>
      <w:r w:rsidR="00CE7B12">
        <w:rPr>
          <w:rFonts w:eastAsia="TimesNewRomanPSMT"/>
          <w:sz w:val="24"/>
          <w:szCs w:val="24"/>
        </w:rPr>
        <w:t xml:space="preserve">              </w:t>
      </w:r>
      <w:proofErr w:type="spellStart"/>
      <w:r w:rsidRPr="00CE7B12">
        <w:rPr>
          <w:rFonts w:eastAsia="CambriaMath"/>
          <w:sz w:val="24"/>
          <w:szCs w:val="24"/>
        </w:rPr>
        <w:t>pKa</w:t>
      </w:r>
      <w:proofErr w:type="spellEnd"/>
      <w:r w:rsidRPr="00CE7B12">
        <w:rPr>
          <w:rFonts w:eastAsia="Calibri"/>
          <w:i/>
          <w:iCs/>
          <w:sz w:val="24"/>
          <w:szCs w:val="24"/>
        </w:rPr>
        <w:t>(</w:t>
      </w:r>
      <w:r w:rsidRPr="00CE7B12">
        <w:rPr>
          <w:rFonts w:eastAsia="TimesNewRomanPSMT"/>
          <w:sz w:val="24"/>
          <w:szCs w:val="24"/>
        </w:rPr>
        <w:t>EtO</w:t>
      </w:r>
      <w:r w:rsidRPr="00CE7B12">
        <w:rPr>
          <w:rFonts w:eastAsia="TimesNewRomanPSMT"/>
          <w:sz w:val="24"/>
          <w:szCs w:val="24"/>
          <w:vertAlign w:val="subscript"/>
        </w:rPr>
        <w:t>2</w:t>
      </w:r>
      <w:r w:rsidRPr="00CE7B12">
        <w:rPr>
          <w:rFonts w:eastAsia="TimesNewRomanPSMT"/>
          <w:sz w:val="24"/>
          <w:szCs w:val="24"/>
        </w:rPr>
        <w:t>CCH</w:t>
      </w:r>
      <w:r w:rsidRPr="00CE7B12">
        <w:rPr>
          <w:rFonts w:eastAsia="TimesNewRomanPSMT"/>
          <w:sz w:val="24"/>
          <w:szCs w:val="24"/>
          <w:vertAlign w:val="subscript"/>
        </w:rPr>
        <w:t>2</w:t>
      </w:r>
      <w:r w:rsidRPr="00CE7B12">
        <w:rPr>
          <w:rFonts w:eastAsia="TimesNewRomanPSMT"/>
          <w:sz w:val="24"/>
          <w:szCs w:val="24"/>
        </w:rPr>
        <w:t>R/ EtO</w:t>
      </w:r>
      <w:r w:rsidRPr="00CE7B12">
        <w:rPr>
          <w:rFonts w:eastAsia="TimesNewRomanPSMT"/>
          <w:sz w:val="24"/>
          <w:szCs w:val="24"/>
          <w:vertAlign w:val="subscript"/>
        </w:rPr>
        <w:t>2</w:t>
      </w:r>
      <w:r w:rsidRPr="00CE7B12">
        <w:rPr>
          <w:rFonts w:eastAsia="TimesNewRomanPSMT"/>
          <w:sz w:val="24"/>
          <w:szCs w:val="24"/>
        </w:rPr>
        <w:t>CCH</w:t>
      </w:r>
      <w:r w:rsidRPr="00CE7B12">
        <w:rPr>
          <w:rFonts w:eastAsia="TimesNewRomanPSMT"/>
          <w:sz w:val="24"/>
          <w:szCs w:val="24"/>
          <w:vertAlign w:val="superscript"/>
        </w:rPr>
        <w:t>–</w:t>
      </w:r>
      <w:r w:rsidRPr="00CE7B12">
        <w:rPr>
          <w:rFonts w:eastAsia="TimesNewRomanPSMT"/>
          <w:sz w:val="24"/>
          <w:szCs w:val="24"/>
        </w:rPr>
        <w:t xml:space="preserve">R) </w:t>
      </w:r>
      <w:r w:rsidRPr="00CE7B12">
        <w:rPr>
          <w:rFonts w:eastAsia="CambriaMath"/>
          <w:sz w:val="24"/>
          <w:szCs w:val="24"/>
        </w:rPr>
        <w:t xml:space="preserve">≈ </w:t>
      </w:r>
      <w:r w:rsidRPr="00CE7B12">
        <w:rPr>
          <w:rFonts w:eastAsia="TimesNewRomanPSMT"/>
          <w:sz w:val="24"/>
          <w:szCs w:val="24"/>
        </w:rPr>
        <w:t>25.</w:t>
      </w:r>
    </w:p>
    <w:p w14:paraId="0DC11159" w14:textId="42C34904" w:rsidR="00FD7DA2" w:rsidRPr="00CE7B12" w:rsidRDefault="00FD7DA2" w:rsidP="00FD7DA2">
      <w:pPr>
        <w:rPr>
          <w:rFonts w:eastAsia="TimesNewRomanPSMT"/>
          <w:sz w:val="24"/>
          <w:szCs w:val="24"/>
        </w:rPr>
      </w:pPr>
    </w:p>
    <w:p w14:paraId="638B01E7" w14:textId="77777777" w:rsidR="00FD7DA2" w:rsidRPr="00FD7DA2" w:rsidRDefault="00FD7DA2" w:rsidP="00FD7DA2">
      <w:pPr>
        <w:autoSpaceDE w:val="0"/>
        <w:autoSpaceDN w:val="0"/>
        <w:adjustRightInd w:val="0"/>
        <w:rPr>
          <w:rFonts w:eastAsia="Calibri"/>
          <w:i/>
          <w:iCs/>
          <w:sz w:val="24"/>
          <w:szCs w:val="24"/>
          <w:lang w:val="fr-FR"/>
        </w:rPr>
      </w:pPr>
      <w:r w:rsidRPr="00FD7DA2">
        <w:rPr>
          <w:rFonts w:eastAsia="Calibri"/>
          <w:b/>
          <w:bCs/>
          <w:i/>
          <w:iCs/>
          <w:sz w:val="24"/>
          <w:szCs w:val="24"/>
          <w:lang w:val="fr-FR"/>
        </w:rPr>
        <w:t>Annexe 4</w:t>
      </w:r>
      <w:r w:rsidRPr="00FD7DA2">
        <w:rPr>
          <w:rFonts w:eastAsia="Calibri"/>
          <w:i/>
          <w:iCs/>
          <w:sz w:val="24"/>
          <w:szCs w:val="24"/>
          <w:lang w:val="fr-FR"/>
        </w:rPr>
        <w:t>. Constantes physicochimiques et autres.</w:t>
      </w:r>
    </w:p>
    <w:p w14:paraId="66D4DCD9" w14:textId="77777777" w:rsidR="00FD7DA2" w:rsidRPr="00FD7DA2" w:rsidRDefault="00FD7DA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  <w:lang w:val="fr-FR"/>
        </w:rPr>
      </w:pPr>
      <w:r w:rsidRPr="00FD7DA2">
        <w:rPr>
          <w:rFonts w:eastAsia="TimesNewRomanPSMT"/>
          <w:sz w:val="24"/>
          <w:szCs w:val="24"/>
          <w:lang w:val="fr-FR"/>
        </w:rPr>
        <w:t>Masses molaires (g</w:t>
      </w:r>
      <w:r w:rsidRPr="00FD7DA2">
        <w:rPr>
          <w:rFonts w:ascii="MS Gothic" w:eastAsia="MS Gothic" w:hAnsi="MS Gothic" w:cs="MS Gothic" w:hint="eastAsia"/>
          <w:sz w:val="24"/>
          <w:szCs w:val="24"/>
          <w:lang w:val="fr-FR"/>
        </w:rPr>
        <w:t>・</w:t>
      </w:r>
      <w:r w:rsidRPr="00FD7DA2">
        <w:rPr>
          <w:rFonts w:eastAsia="TimesNewRomanPSMT"/>
          <w:sz w:val="24"/>
          <w:szCs w:val="24"/>
          <w:lang w:val="fr-FR"/>
        </w:rPr>
        <w:t>mol–1) : C = 12 ; O = 16 ; H = 1 ; Si = 28.</w:t>
      </w:r>
    </w:p>
    <w:p w14:paraId="0F295A2F" w14:textId="77777777" w:rsidR="00FD7DA2" w:rsidRPr="00FD7DA2" w:rsidRDefault="00FD7DA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  <w:lang w:val="fr-FR"/>
        </w:rPr>
      </w:pPr>
      <w:proofErr w:type="spellStart"/>
      <w:r w:rsidRPr="00FD7DA2">
        <w:rPr>
          <w:rFonts w:eastAsia="TimesNewRomanPSMT"/>
          <w:sz w:val="24"/>
          <w:szCs w:val="24"/>
          <w:lang w:val="fr-FR"/>
        </w:rPr>
        <w:t>Numero</w:t>
      </w:r>
      <w:proofErr w:type="spellEnd"/>
      <w:r w:rsidRPr="00FD7DA2">
        <w:rPr>
          <w:rFonts w:eastAsia="TimesNewRomanPSMT"/>
          <w:sz w:val="24"/>
          <w:szCs w:val="24"/>
          <w:lang w:val="fr-FR"/>
        </w:rPr>
        <w:t xml:space="preserve"> atomique : </w:t>
      </w:r>
      <w:r w:rsidRPr="00FD7DA2">
        <w:rPr>
          <w:rFonts w:eastAsia="CambriaMath"/>
          <w:sz w:val="24"/>
          <w:szCs w:val="24"/>
          <w:lang w:val="fr-FR"/>
        </w:rPr>
        <w:t>Z</w:t>
      </w:r>
      <w:r w:rsidRPr="00FD7DA2">
        <w:rPr>
          <w:rFonts w:eastAsia="TimesNewRomanPSMT"/>
          <w:sz w:val="24"/>
          <w:szCs w:val="24"/>
          <w:lang w:val="fr-FR"/>
        </w:rPr>
        <w:t>(Cl) = 17</w:t>
      </w:r>
    </w:p>
    <w:p w14:paraId="40757F63" w14:textId="77777777" w:rsidR="00FD7DA2" w:rsidRPr="00FD7DA2" w:rsidRDefault="00FD7DA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  <w:lang w:val="fr-FR"/>
        </w:rPr>
      </w:pPr>
      <w:proofErr w:type="spellStart"/>
      <w:r w:rsidRPr="00FD7DA2">
        <w:rPr>
          <w:rFonts w:eastAsia="TimesNewRomanPSMT"/>
          <w:sz w:val="24"/>
          <w:szCs w:val="24"/>
          <w:lang w:val="fr-FR"/>
        </w:rPr>
        <w:t>Densite</w:t>
      </w:r>
      <w:proofErr w:type="spellEnd"/>
      <w:r w:rsidRPr="00FD7DA2">
        <w:rPr>
          <w:rFonts w:eastAsia="TimesNewRomanPSMT"/>
          <w:sz w:val="24"/>
          <w:szCs w:val="24"/>
          <w:lang w:val="fr-FR"/>
        </w:rPr>
        <w:t xml:space="preserve"> de l’</w:t>
      </w:r>
      <w:proofErr w:type="spellStart"/>
      <w:r w:rsidRPr="00FD7DA2">
        <w:rPr>
          <w:rFonts w:eastAsia="TimesNewRomanPSMT"/>
          <w:sz w:val="24"/>
          <w:szCs w:val="24"/>
          <w:lang w:val="fr-FR"/>
        </w:rPr>
        <w:t>ethanol</w:t>
      </w:r>
      <w:proofErr w:type="spellEnd"/>
      <w:r w:rsidRPr="00FD7DA2">
        <w:rPr>
          <w:rFonts w:eastAsia="TimesNewRomanPSMT"/>
          <w:sz w:val="24"/>
          <w:szCs w:val="24"/>
          <w:lang w:val="fr-FR"/>
        </w:rPr>
        <w:t xml:space="preserve"> : </w:t>
      </w:r>
      <w:r w:rsidRPr="00FD7DA2">
        <w:rPr>
          <w:rFonts w:eastAsia="CambriaMath"/>
          <w:sz w:val="24"/>
          <w:szCs w:val="24"/>
          <w:lang w:val="fr-FR"/>
        </w:rPr>
        <w:t xml:space="preserve">d </w:t>
      </w:r>
      <w:r w:rsidRPr="00FD7DA2">
        <w:rPr>
          <w:rFonts w:eastAsia="TimesNewRomanPSMT"/>
          <w:sz w:val="24"/>
          <w:szCs w:val="24"/>
          <w:lang w:val="fr-FR"/>
        </w:rPr>
        <w:t>= 0,8.</w:t>
      </w:r>
    </w:p>
    <w:p w14:paraId="0D02A3AB" w14:textId="394D8C52" w:rsidR="00FD7DA2" w:rsidRPr="000F4B13" w:rsidRDefault="00FD7DA2">
      <w:pPr>
        <w:rPr>
          <w:rFonts w:eastAsia="TimesNewRomanPSMT"/>
          <w:sz w:val="24"/>
          <w:szCs w:val="24"/>
          <w:lang w:val="fr-FR"/>
        </w:rPr>
      </w:pPr>
    </w:p>
    <w:p w14:paraId="6F0CFE47" w14:textId="763D834B" w:rsidR="00FD7DA2" w:rsidRPr="00CE7B12" w:rsidRDefault="00FD7DA2">
      <w:pPr>
        <w:rPr>
          <w:rFonts w:eastAsia="Calibri"/>
          <w:i/>
          <w:iCs/>
          <w:sz w:val="24"/>
          <w:szCs w:val="24"/>
          <w:lang w:val="fr-FR"/>
        </w:rPr>
      </w:pPr>
      <w:r w:rsidRPr="00CE7B12">
        <w:rPr>
          <w:rFonts w:eastAsia="Calibri"/>
          <w:b/>
          <w:bCs/>
          <w:i/>
          <w:iCs/>
          <w:sz w:val="24"/>
          <w:szCs w:val="24"/>
          <w:lang w:val="fr-FR"/>
        </w:rPr>
        <w:t>Annexe 5</w:t>
      </w:r>
      <w:r w:rsidRPr="00CE7B12">
        <w:rPr>
          <w:rFonts w:eastAsia="Calibri"/>
          <w:i/>
          <w:iCs/>
          <w:sz w:val="24"/>
          <w:szCs w:val="24"/>
          <w:lang w:val="fr-FR"/>
        </w:rPr>
        <w:t xml:space="preserve">. RMN </w:t>
      </w:r>
      <w:r w:rsidRPr="00CE7B12">
        <w:rPr>
          <w:rFonts w:eastAsia="Calibri"/>
          <w:i/>
          <w:iCs/>
          <w:sz w:val="24"/>
          <w:szCs w:val="24"/>
          <w:vertAlign w:val="superscript"/>
          <w:lang w:val="fr-FR"/>
        </w:rPr>
        <w:t>1</w:t>
      </w:r>
      <w:r w:rsidRPr="00CE7B12">
        <w:rPr>
          <w:rFonts w:eastAsia="Calibri"/>
          <w:i/>
          <w:iCs/>
          <w:sz w:val="24"/>
          <w:szCs w:val="24"/>
          <w:lang w:val="fr-FR"/>
        </w:rPr>
        <w:t xml:space="preserve">H (gamme de déplacements chimiques). </w:t>
      </w:r>
      <w:r w:rsidRPr="00CE7B12">
        <w:rPr>
          <w:rFonts w:eastAsia="Calibri"/>
          <w:i/>
          <w:iCs/>
          <w:sz w:val="24"/>
          <w:szCs w:val="24"/>
          <w:vertAlign w:val="superscript"/>
          <w:lang w:val="fr-FR"/>
        </w:rPr>
        <w:t>7</w:t>
      </w:r>
    </w:p>
    <w:p w14:paraId="30E2D4AD" w14:textId="2B2202F4" w:rsidR="00FD7DA2" w:rsidRDefault="00FD7DA2" w:rsidP="00CE7B12">
      <w:pPr>
        <w:jc w:val="center"/>
        <w:rPr>
          <w:rFonts w:ascii="TimesNewRomanPS-ItalicMT" w:eastAsia="Calibri" w:hAnsi="TimesNewRomanPS-ItalicMT" w:cs="TimesNewRomanPS-ItalicMT"/>
          <w:i/>
          <w:iCs/>
          <w:sz w:val="13"/>
          <w:szCs w:val="13"/>
          <w:lang w:val="fr-FR"/>
        </w:rPr>
      </w:pPr>
      <w:r w:rsidRPr="00FD7DA2">
        <w:rPr>
          <w:rFonts w:ascii="TimesNewRomanPS-ItalicMT" w:eastAsia="Calibri" w:hAnsi="TimesNewRomanPS-ItalicMT" w:cs="TimesNewRomanPS-ItalicMT"/>
          <w:i/>
          <w:iCs/>
          <w:noProof/>
          <w:sz w:val="13"/>
          <w:szCs w:val="13"/>
          <w:lang w:val="fr-FR"/>
        </w:rPr>
        <w:drawing>
          <wp:inline distT="0" distB="0" distL="0" distR="0" wp14:anchorId="77592C18" wp14:editId="784AE266">
            <wp:extent cx="2675525" cy="2607103"/>
            <wp:effectExtent l="0" t="0" r="0" b="317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948" cy="262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C3AD3" w14:textId="77777777" w:rsidR="00FD7DA2" w:rsidRDefault="00FD7DA2">
      <w:pPr>
        <w:rPr>
          <w:rFonts w:ascii="TimesNewRomanPS-ItalicMT" w:eastAsia="Calibri" w:hAnsi="TimesNewRomanPS-ItalicMT" w:cs="TimesNewRomanPS-ItalicMT"/>
          <w:i/>
          <w:iCs/>
          <w:sz w:val="13"/>
          <w:szCs w:val="13"/>
          <w:lang w:val="fr-FR"/>
        </w:rPr>
      </w:pPr>
    </w:p>
    <w:p w14:paraId="194F03F7" w14:textId="6F6DD4B8" w:rsidR="00FD7DA2" w:rsidRPr="00CE7B12" w:rsidRDefault="00FD7DA2" w:rsidP="00CE7B12">
      <w:pPr>
        <w:rPr>
          <w:rFonts w:eastAsia="Calibri"/>
          <w:b/>
          <w:bCs/>
          <w:i/>
          <w:iCs/>
          <w:sz w:val="24"/>
          <w:szCs w:val="24"/>
          <w:vertAlign w:val="superscript"/>
          <w:lang w:val="fr-FR"/>
        </w:rPr>
      </w:pPr>
      <w:r w:rsidRPr="00FD7DA2">
        <w:rPr>
          <w:rFonts w:eastAsia="Calibri"/>
          <w:b/>
          <w:bCs/>
          <w:i/>
          <w:iCs/>
          <w:sz w:val="24"/>
          <w:szCs w:val="24"/>
          <w:lang w:val="fr-FR"/>
        </w:rPr>
        <w:t>Annexe 6</w:t>
      </w:r>
      <w:r w:rsidRPr="00FD7DA2">
        <w:rPr>
          <w:rFonts w:eastAsia="Calibri"/>
          <w:i/>
          <w:iCs/>
          <w:sz w:val="24"/>
          <w:szCs w:val="24"/>
          <w:lang w:val="fr-FR"/>
        </w:rPr>
        <w:t>. Constantes de couplage 1H–1H usuelles.</w:t>
      </w:r>
      <w:r w:rsidRPr="00CE7B12">
        <w:rPr>
          <w:rFonts w:eastAsia="Calibri"/>
          <w:b/>
          <w:bCs/>
          <w:i/>
          <w:iCs/>
          <w:sz w:val="24"/>
          <w:szCs w:val="24"/>
          <w:vertAlign w:val="superscript"/>
          <w:lang w:val="fr-FR"/>
        </w:rPr>
        <w:t>7</w:t>
      </w:r>
    </w:p>
    <w:p w14:paraId="6386837D" w14:textId="3A6F3AF0" w:rsidR="00FD7DA2" w:rsidRDefault="00FD7DA2">
      <w:pPr>
        <w:rPr>
          <w:rFonts w:eastAsia="Calibri"/>
          <w:b/>
          <w:bCs/>
          <w:i/>
          <w:iCs/>
          <w:sz w:val="24"/>
          <w:szCs w:val="24"/>
          <w:lang w:val="fr-FR"/>
        </w:rPr>
      </w:pPr>
    </w:p>
    <w:p w14:paraId="75CD5CB8" w14:textId="04B959D9" w:rsidR="00FD7DA2" w:rsidRPr="00FD7DA2" w:rsidRDefault="00FD7DA2" w:rsidP="00CE7B12">
      <w:pPr>
        <w:jc w:val="center"/>
        <w:rPr>
          <w:rFonts w:eastAsia="Calibri"/>
          <w:i/>
          <w:iCs/>
          <w:sz w:val="24"/>
          <w:szCs w:val="24"/>
          <w:lang w:val="fr-FR"/>
        </w:rPr>
      </w:pPr>
      <w:r w:rsidRPr="00FD7DA2">
        <w:rPr>
          <w:rFonts w:eastAsia="Calibri"/>
          <w:i/>
          <w:iCs/>
          <w:noProof/>
          <w:sz w:val="24"/>
          <w:szCs w:val="24"/>
          <w:lang w:val="fr-FR"/>
        </w:rPr>
        <w:drawing>
          <wp:inline distT="0" distB="0" distL="0" distR="0" wp14:anchorId="5C9225EA" wp14:editId="4647753C">
            <wp:extent cx="4767639" cy="1079445"/>
            <wp:effectExtent l="0" t="0" r="0" b="698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338" cy="109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883F38" w14:textId="77777777" w:rsidR="00CE7B12" w:rsidRDefault="00CE7B12" w:rsidP="00FD7DA2">
      <w:pPr>
        <w:autoSpaceDE w:val="0"/>
        <w:autoSpaceDN w:val="0"/>
        <w:adjustRightInd w:val="0"/>
        <w:rPr>
          <w:rFonts w:eastAsia="TimesNewRomanPSMT"/>
          <w:sz w:val="24"/>
          <w:szCs w:val="24"/>
          <w:vertAlign w:val="superscript"/>
        </w:rPr>
      </w:pPr>
    </w:p>
    <w:p w14:paraId="3AB0C499" w14:textId="09F7811C" w:rsidR="00FD7DA2" w:rsidRPr="00723926" w:rsidRDefault="00FD7DA2" w:rsidP="0072392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 w:rsidRPr="00CE7B12">
        <w:rPr>
          <w:rFonts w:eastAsia="TimesNewRomanPSMT"/>
          <w:sz w:val="24"/>
          <w:szCs w:val="24"/>
          <w:vertAlign w:val="superscript"/>
        </w:rPr>
        <w:t>7</w:t>
      </w:r>
      <w:r w:rsidRPr="00FD7DA2">
        <w:rPr>
          <w:rFonts w:eastAsia="TimesNewRomanPSMT"/>
          <w:sz w:val="24"/>
          <w:szCs w:val="24"/>
        </w:rPr>
        <w:t xml:space="preserve"> E. </w:t>
      </w:r>
      <w:proofErr w:type="spellStart"/>
      <w:r w:rsidRPr="00FD7DA2">
        <w:rPr>
          <w:rFonts w:eastAsia="TimesNewRomanPSMT"/>
          <w:sz w:val="24"/>
          <w:szCs w:val="24"/>
        </w:rPr>
        <w:t>Prestsch</w:t>
      </w:r>
      <w:proofErr w:type="spellEnd"/>
      <w:r w:rsidRPr="00FD7DA2">
        <w:rPr>
          <w:rFonts w:eastAsia="TimesNewRomanPSMT"/>
          <w:sz w:val="24"/>
          <w:szCs w:val="24"/>
        </w:rPr>
        <w:t xml:space="preserve">, P. </w:t>
      </w:r>
      <w:proofErr w:type="spellStart"/>
      <w:r w:rsidRPr="00FD7DA2">
        <w:rPr>
          <w:rFonts w:eastAsia="TimesNewRomanPSMT"/>
          <w:sz w:val="24"/>
          <w:szCs w:val="24"/>
        </w:rPr>
        <w:t>Bühlmann</w:t>
      </w:r>
      <w:proofErr w:type="spellEnd"/>
      <w:r w:rsidRPr="00FD7DA2">
        <w:rPr>
          <w:rFonts w:eastAsia="TimesNewRomanPSMT"/>
          <w:sz w:val="24"/>
          <w:szCs w:val="24"/>
        </w:rPr>
        <w:t xml:space="preserve">, M. Badertscher, </w:t>
      </w:r>
      <w:r w:rsidRPr="00FD7DA2">
        <w:rPr>
          <w:rFonts w:eastAsia="TimesNewRomanPSMT"/>
          <w:i/>
          <w:iCs/>
          <w:sz w:val="24"/>
          <w:szCs w:val="24"/>
        </w:rPr>
        <w:t>Structure Determination of Organic Compounds</w:t>
      </w:r>
      <w:r w:rsidRPr="00FD7DA2">
        <w:rPr>
          <w:rFonts w:eastAsia="TimesNewRomanPSMT"/>
          <w:sz w:val="24"/>
          <w:szCs w:val="24"/>
        </w:rPr>
        <w:t>, Springer-Verlag, Berlin,</w:t>
      </w:r>
      <w:r w:rsidRPr="000F4B13">
        <w:rPr>
          <w:rFonts w:eastAsia="TimesNewRomanPSMT"/>
          <w:sz w:val="24"/>
          <w:szCs w:val="24"/>
        </w:rPr>
        <w:t>Heidelberg, 4 edn. 2009.</w:t>
      </w:r>
    </w:p>
    <w:p w14:paraId="6A1BA37F" w14:textId="415C24BD" w:rsidR="00FD7DA2" w:rsidRPr="000F4B13" w:rsidRDefault="00FD7DA2">
      <w:pPr>
        <w:rPr>
          <w:rFonts w:ascii="TimesNewRomanPS-ItalicMT" w:eastAsia="Calibri" w:hAnsi="TimesNewRomanPS-ItalicMT" w:cs="TimesNewRomanPS-ItalicMT"/>
          <w:i/>
          <w:iCs/>
          <w:sz w:val="13"/>
          <w:szCs w:val="13"/>
        </w:rPr>
      </w:pPr>
    </w:p>
    <w:p w14:paraId="06FA4C31" w14:textId="4B49ABFF" w:rsidR="00FD7DA2" w:rsidRPr="000F4B13" w:rsidRDefault="00FD7DA2">
      <w:pPr>
        <w:rPr>
          <w:rFonts w:ascii="TimesNewRomanPS-ItalicMT" w:eastAsia="Calibri" w:hAnsi="TimesNewRomanPS-ItalicMT" w:cs="TimesNewRomanPS-ItalicMT"/>
          <w:i/>
          <w:iCs/>
          <w:sz w:val="13"/>
          <w:szCs w:val="13"/>
        </w:rPr>
      </w:pPr>
    </w:p>
    <w:p w14:paraId="090A9688" w14:textId="77777777" w:rsidR="00FD7DA2" w:rsidRPr="000F4B13" w:rsidRDefault="00FD7DA2">
      <w:pPr>
        <w:rPr>
          <w:sz w:val="24"/>
          <w:szCs w:val="24"/>
        </w:rPr>
      </w:pPr>
    </w:p>
    <w:sectPr w:rsidR="00FD7DA2" w:rsidRPr="000F4B13" w:rsidSect="00723926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EC62E" w14:textId="77777777" w:rsidR="009E340F" w:rsidRDefault="009E340F" w:rsidP="00723926">
      <w:r>
        <w:separator/>
      </w:r>
    </w:p>
  </w:endnote>
  <w:endnote w:type="continuationSeparator" w:id="0">
    <w:p w14:paraId="473CF081" w14:textId="77777777" w:rsidR="009E340F" w:rsidRDefault="009E340F" w:rsidP="00723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Narrow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Math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-Italic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48225" w14:textId="77777777" w:rsidR="009E340F" w:rsidRDefault="009E340F" w:rsidP="00723926">
      <w:r>
        <w:separator/>
      </w:r>
    </w:p>
  </w:footnote>
  <w:footnote w:type="continuationSeparator" w:id="0">
    <w:p w14:paraId="243E7FFE" w14:textId="77777777" w:rsidR="009E340F" w:rsidRDefault="009E340F" w:rsidP="007239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3924340"/>
      <w:docPartObj>
        <w:docPartGallery w:val="Page Numbers (Top of Page)"/>
        <w:docPartUnique/>
      </w:docPartObj>
    </w:sdtPr>
    <w:sdtEndPr/>
    <w:sdtContent>
      <w:p w14:paraId="778F2F94" w14:textId="77777777" w:rsidR="00723926" w:rsidRDefault="00723926">
        <w:pPr>
          <w:pStyle w:val="En-tte"/>
          <w:jc w:val="center"/>
        </w:pPr>
        <w:r>
          <w:rPr>
            <w:lang w:val="fr-FR"/>
          </w:rP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fr-FR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fr-FR"/>
          </w:rPr>
          <w:t xml:space="preserve"> sur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fr-FR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5AD13748" w14:textId="77777777" w:rsidR="00723926" w:rsidRDefault="0072392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646"/>
    <w:rsid w:val="00035DFC"/>
    <w:rsid w:val="000F4B13"/>
    <w:rsid w:val="00222561"/>
    <w:rsid w:val="00227B4D"/>
    <w:rsid w:val="002D4646"/>
    <w:rsid w:val="00331520"/>
    <w:rsid w:val="003A7131"/>
    <w:rsid w:val="006D5145"/>
    <w:rsid w:val="00723926"/>
    <w:rsid w:val="007868E9"/>
    <w:rsid w:val="009E340F"/>
    <w:rsid w:val="00B74FD2"/>
    <w:rsid w:val="00C16101"/>
    <w:rsid w:val="00C86CEA"/>
    <w:rsid w:val="00CE7B12"/>
    <w:rsid w:val="00D77CF8"/>
    <w:rsid w:val="00FD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020AE"/>
  <w15:chartTrackingRefBased/>
  <w15:docId w15:val="{6F43D50D-71F5-4299-9FD2-18C2F427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646"/>
    <w:pPr>
      <w:spacing w:after="0" w:line="240" w:lineRule="auto"/>
    </w:pPr>
    <w:rPr>
      <w:rFonts w:ascii="Times New Roman" w:eastAsia="PMingLiU" w:hAnsi="Times New Roman" w:cs="Times New Roman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3A7131"/>
    <w:pPr>
      <w:keepNext/>
      <w:keepLines/>
      <w:spacing w:before="480"/>
      <w:outlineLvl w:val="0"/>
    </w:pPr>
    <w:rPr>
      <w:rFonts w:ascii="Cambria" w:hAnsi="Cambria"/>
      <w:b/>
      <w:bCs/>
      <w:color w:val="21798E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A7131"/>
    <w:pPr>
      <w:keepNext/>
      <w:keepLines/>
      <w:spacing w:before="200"/>
      <w:outlineLvl w:val="1"/>
    </w:pPr>
    <w:rPr>
      <w:rFonts w:ascii="Cambria" w:hAnsi="Cambria"/>
      <w:b/>
      <w:bCs/>
      <w:color w:val="2DA2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A7131"/>
    <w:pPr>
      <w:keepNext/>
      <w:keepLines/>
      <w:spacing w:before="200"/>
      <w:outlineLvl w:val="2"/>
    </w:pPr>
    <w:rPr>
      <w:rFonts w:ascii="Cambria" w:hAnsi="Cambria"/>
      <w:b/>
      <w:bCs/>
      <w:color w:val="2DA2B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A713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2DA2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A7131"/>
    <w:pPr>
      <w:keepNext/>
      <w:keepLines/>
      <w:spacing w:before="200"/>
      <w:outlineLvl w:val="4"/>
    </w:pPr>
    <w:rPr>
      <w:rFonts w:ascii="Cambria" w:hAnsi="Cambria"/>
      <w:color w:val="16505E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A7131"/>
    <w:pPr>
      <w:keepNext/>
      <w:keepLines/>
      <w:spacing w:before="200"/>
      <w:outlineLvl w:val="5"/>
    </w:pPr>
    <w:rPr>
      <w:rFonts w:ascii="Cambria" w:hAnsi="Cambria"/>
      <w:i/>
      <w:iCs/>
      <w:color w:val="16505E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A713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A7131"/>
    <w:pPr>
      <w:keepNext/>
      <w:keepLines/>
      <w:spacing w:before="200"/>
      <w:outlineLvl w:val="7"/>
    </w:pPr>
    <w:rPr>
      <w:rFonts w:ascii="Cambria" w:hAnsi="Cambria"/>
      <w:color w:val="2DA2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A7131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3A7131"/>
    <w:rPr>
      <w:rFonts w:ascii="Cambria" w:hAnsi="Cambria"/>
      <w:b/>
      <w:bCs/>
      <w:color w:val="21798E"/>
      <w:sz w:val="28"/>
      <w:szCs w:val="28"/>
    </w:rPr>
  </w:style>
  <w:style w:type="character" w:customStyle="1" w:styleId="Titre2Car">
    <w:name w:val="Titre 2 Car"/>
    <w:link w:val="Titre2"/>
    <w:uiPriority w:val="9"/>
    <w:semiHidden/>
    <w:rsid w:val="003A7131"/>
    <w:rPr>
      <w:rFonts w:ascii="Cambria" w:hAnsi="Cambria"/>
      <w:b/>
      <w:bCs/>
      <w:color w:val="2DA2BF"/>
      <w:sz w:val="26"/>
      <w:szCs w:val="26"/>
    </w:rPr>
  </w:style>
  <w:style w:type="character" w:customStyle="1" w:styleId="Titre3Car">
    <w:name w:val="Titre 3 Car"/>
    <w:link w:val="Titre3"/>
    <w:uiPriority w:val="9"/>
    <w:semiHidden/>
    <w:rsid w:val="003A7131"/>
    <w:rPr>
      <w:rFonts w:ascii="Cambria" w:hAnsi="Cambria"/>
      <w:b/>
      <w:bCs/>
      <w:color w:val="2DA2BF"/>
    </w:rPr>
  </w:style>
  <w:style w:type="character" w:customStyle="1" w:styleId="Titre4Car">
    <w:name w:val="Titre 4 Car"/>
    <w:link w:val="Titre4"/>
    <w:uiPriority w:val="9"/>
    <w:semiHidden/>
    <w:rsid w:val="003A7131"/>
    <w:rPr>
      <w:rFonts w:ascii="Cambria" w:hAnsi="Cambria"/>
      <w:b/>
      <w:bCs/>
      <w:i/>
      <w:iCs/>
      <w:color w:val="2DA2BF"/>
    </w:rPr>
  </w:style>
  <w:style w:type="character" w:customStyle="1" w:styleId="Titre5Car">
    <w:name w:val="Titre 5 Car"/>
    <w:link w:val="Titre5"/>
    <w:uiPriority w:val="9"/>
    <w:semiHidden/>
    <w:rsid w:val="003A7131"/>
    <w:rPr>
      <w:rFonts w:ascii="Cambria" w:hAnsi="Cambria"/>
      <w:color w:val="16505E"/>
    </w:rPr>
  </w:style>
  <w:style w:type="character" w:customStyle="1" w:styleId="Titre6Car">
    <w:name w:val="Titre 6 Car"/>
    <w:link w:val="Titre6"/>
    <w:uiPriority w:val="9"/>
    <w:semiHidden/>
    <w:rsid w:val="003A7131"/>
    <w:rPr>
      <w:rFonts w:ascii="Cambria" w:hAnsi="Cambria"/>
      <w:i/>
      <w:iCs/>
      <w:color w:val="16505E"/>
    </w:rPr>
  </w:style>
  <w:style w:type="character" w:customStyle="1" w:styleId="Titre7Car">
    <w:name w:val="Titre 7 Car"/>
    <w:link w:val="Titre7"/>
    <w:uiPriority w:val="9"/>
    <w:semiHidden/>
    <w:rsid w:val="003A7131"/>
    <w:rPr>
      <w:rFonts w:ascii="Cambria" w:hAnsi="Cambria"/>
      <w:i/>
      <w:iCs/>
      <w:color w:val="404040"/>
    </w:rPr>
  </w:style>
  <w:style w:type="character" w:customStyle="1" w:styleId="Titre8Car">
    <w:name w:val="Titre 8 Car"/>
    <w:link w:val="Titre8"/>
    <w:uiPriority w:val="9"/>
    <w:semiHidden/>
    <w:rsid w:val="003A7131"/>
    <w:rPr>
      <w:rFonts w:ascii="Cambria" w:hAnsi="Cambria"/>
      <w:color w:val="2DA2BF"/>
      <w:sz w:val="20"/>
      <w:szCs w:val="20"/>
    </w:rPr>
  </w:style>
  <w:style w:type="character" w:customStyle="1" w:styleId="Titre9Car">
    <w:name w:val="Titre 9 Car"/>
    <w:link w:val="Titre9"/>
    <w:uiPriority w:val="9"/>
    <w:semiHidden/>
    <w:rsid w:val="003A7131"/>
    <w:rPr>
      <w:rFonts w:ascii="Cambria" w:hAnsi="Cambria"/>
      <w:i/>
      <w:iCs/>
      <w:color w:val="404040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3A7131"/>
    <w:rPr>
      <w:b/>
      <w:bCs/>
      <w:color w:val="2DA2B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3A7131"/>
    <w:pPr>
      <w:pBdr>
        <w:bottom w:val="single" w:sz="8" w:space="4" w:color="2DA2BF"/>
      </w:pBdr>
      <w:spacing w:after="300"/>
      <w:contextualSpacing/>
    </w:pPr>
    <w:rPr>
      <w:rFonts w:ascii="Cambria" w:hAnsi="Cambria"/>
      <w:color w:val="343434"/>
      <w:spacing w:val="5"/>
      <w:kern w:val="28"/>
      <w:sz w:val="52"/>
      <w:szCs w:val="52"/>
    </w:rPr>
  </w:style>
  <w:style w:type="character" w:customStyle="1" w:styleId="TitreCar">
    <w:name w:val="Titre Car"/>
    <w:link w:val="Titre"/>
    <w:uiPriority w:val="10"/>
    <w:rsid w:val="003A7131"/>
    <w:rPr>
      <w:rFonts w:ascii="Cambria" w:hAnsi="Cambria"/>
      <w:color w:val="343434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A7131"/>
    <w:pPr>
      <w:numPr>
        <w:ilvl w:val="1"/>
      </w:numPr>
    </w:pPr>
    <w:rPr>
      <w:rFonts w:ascii="Cambria" w:eastAsia="Times New Roman" w:hAnsi="Cambria"/>
      <w:i/>
      <w:iCs/>
      <w:color w:val="2DA2BF"/>
      <w:spacing w:val="15"/>
      <w:szCs w:val="24"/>
    </w:rPr>
  </w:style>
  <w:style w:type="character" w:customStyle="1" w:styleId="Sous-titreCar">
    <w:name w:val="Sous-titre Car"/>
    <w:link w:val="Sous-titre"/>
    <w:uiPriority w:val="11"/>
    <w:rsid w:val="003A7131"/>
    <w:rPr>
      <w:rFonts w:ascii="Cambria" w:eastAsia="Times New Roman" w:hAnsi="Cambria"/>
      <w:i/>
      <w:iCs/>
      <w:color w:val="2DA2BF"/>
      <w:spacing w:val="15"/>
      <w:sz w:val="24"/>
      <w:szCs w:val="24"/>
    </w:rPr>
  </w:style>
  <w:style w:type="character" w:styleId="lev">
    <w:name w:val="Strong"/>
    <w:uiPriority w:val="22"/>
    <w:qFormat/>
    <w:rsid w:val="003A7131"/>
    <w:rPr>
      <w:b/>
      <w:bCs/>
    </w:rPr>
  </w:style>
  <w:style w:type="character" w:styleId="Accentuation">
    <w:name w:val="Emphasis"/>
    <w:uiPriority w:val="20"/>
    <w:qFormat/>
    <w:rsid w:val="003A7131"/>
    <w:rPr>
      <w:i/>
      <w:iCs/>
    </w:rPr>
  </w:style>
  <w:style w:type="paragraph" w:styleId="Sansinterligne">
    <w:name w:val="No Spacing"/>
    <w:link w:val="SansinterligneCar"/>
    <w:uiPriority w:val="1"/>
    <w:qFormat/>
    <w:rsid w:val="003A7131"/>
    <w:pPr>
      <w:spacing w:after="0" w:line="240" w:lineRule="auto"/>
    </w:pPr>
  </w:style>
  <w:style w:type="character" w:customStyle="1" w:styleId="SansinterligneCar">
    <w:name w:val="Sans interligne Car"/>
    <w:link w:val="Sansinterligne"/>
    <w:uiPriority w:val="1"/>
    <w:rsid w:val="003A7131"/>
  </w:style>
  <w:style w:type="paragraph" w:styleId="Paragraphedeliste">
    <w:name w:val="List Paragraph"/>
    <w:basedOn w:val="Normal"/>
    <w:uiPriority w:val="34"/>
    <w:qFormat/>
    <w:rsid w:val="003A7131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3A713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3A7131"/>
    <w:rPr>
      <w:i/>
      <w:iCs/>
      <w:color w:val="00000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A71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CitationintenseCar">
    <w:name w:val="Citation intense Car"/>
    <w:link w:val="Citationintense"/>
    <w:uiPriority w:val="30"/>
    <w:rsid w:val="003A7131"/>
    <w:rPr>
      <w:b/>
      <w:bCs/>
      <w:i/>
      <w:iCs/>
      <w:color w:val="2DA2BF"/>
    </w:rPr>
  </w:style>
  <w:style w:type="character" w:styleId="Accentuationlgre">
    <w:name w:val="Subtle Emphasis"/>
    <w:uiPriority w:val="19"/>
    <w:qFormat/>
    <w:rsid w:val="003A7131"/>
    <w:rPr>
      <w:i/>
      <w:iCs/>
      <w:color w:val="808080"/>
    </w:rPr>
  </w:style>
  <w:style w:type="character" w:styleId="Accentuationintense">
    <w:name w:val="Intense Emphasis"/>
    <w:uiPriority w:val="21"/>
    <w:qFormat/>
    <w:rsid w:val="003A7131"/>
    <w:rPr>
      <w:b/>
      <w:bCs/>
      <w:i/>
      <w:iCs/>
      <w:color w:val="2DA2BF"/>
    </w:rPr>
  </w:style>
  <w:style w:type="character" w:styleId="Rfrencelgre">
    <w:name w:val="Subtle Reference"/>
    <w:uiPriority w:val="31"/>
    <w:qFormat/>
    <w:rsid w:val="003A7131"/>
    <w:rPr>
      <w:smallCaps/>
      <w:color w:val="DA1F28"/>
      <w:u w:val="single"/>
    </w:rPr>
  </w:style>
  <w:style w:type="character" w:styleId="Rfrenceintense">
    <w:name w:val="Intense Reference"/>
    <w:uiPriority w:val="32"/>
    <w:qFormat/>
    <w:rsid w:val="003A7131"/>
    <w:rPr>
      <w:b/>
      <w:bCs/>
      <w:smallCaps/>
      <w:color w:val="DA1F28"/>
      <w:spacing w:val="5"/>
      <w:u w:val="single"/>
    </w:rPr>
  </w:style>
  <w:style w:type="character" w:styleId="Titredulivre">
    <w:name w:val="Book Title"/>
    <w:uiPriority w:val="33"/>
    <w:qFormat/>
    <w:rsid w:val="003A7131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3A7131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7239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23926"/>
    <w:rPr>
      <w:rFonts w:ascii="Times New Roman" w:eastAsia="PMingLiU" w:hAnsi="Times New Roman" w:cs="Times New Roman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7239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3926"/>
    <w:rPr>
      <w:rFonts w:ascii="Times New Roman" w:eastAsia="PMingLiU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emf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1716</Words>
  <Characters>9444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Ninise</dc:creator>
  <cp:keywords/>
  <dc:description/>
  <cp:lastModifiedBy>Ninise</cp:lastModifiedBy>
  <cp:revision>4</cp:revision>
  <cp:lastPrinted>2026-03-08T15:29:00Z</cp:lastPrinted>
  <dcterms:created xsi:type="dcterms:W3CDTF">2026-02-17T11:12:00Z</dcterms:created>
  <dcterms:modified xsi:type="dcterms:W3CDTF">2026-03-08T15:29:00Z</dcterms:modified>
</cp:coreProperties>
</file>