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14144" w14:textId="23CE883E" w:rsidR="00503F2F" w:rsidRDefault="00503F2F" w:rsidP="00503F2F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right="8765"/>
      </w:pPr>
      <w:r>
        <w:t>PC* 202</w:t>
      </w:r>
      <w:r w:rsidR="001F22F1">
        <w:t>5</w:t>
      </w:r>
      <w:r>
        <w:t xml:space="preserve"> / 202</w:t>
      </w:r>
      <w:r w:rsidR="001F22F1">
        <w:t>6</w:t>
      </w:r>
      <w:r>
        <w:t xml:space="preserve">  </w:t>
      </w:r>
    </w:p>
    <w:p w14:paraId="4BB1C42A" w14:textId="77777777" w:rsidR="00503F2F" w:rsidRDefault="00503F2F" w:rsidP="00503F2F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right="8765"/>
        <w:jc w:val="center"/>
        <w:rPr>
          <w:rFonts w:ascii="Brush Script MT" w:hAnsi="Brush Script MT"/>
          <w:sz w:val="36"/>
          <w:szCs w:val="36"/>
        </w:rPr>
      </w:pPr>
      <w:r>
        <w:rPr>
          <w:rFonts w:ascii="Brush Script MT" w:hAnsi="Brush Script MT"/>
          <w:sz w:val="36"/>
          <w:szCs w:val="36"/>
        </w:rPr>
        <w:t>Bellevue</w:t>
      </w:r>
    </w:p>
    <w:p w14:paraId="7DBF5FD6" w14:textId="77777777" w:rsidR="00503F2F" w:rsidRDefault="00503F2F" w:rsidP="00503F2F"/>
    <w:p w14:paraId="31CC9A1E" w14:textId="7812A1D6" w:rsidR="00503F2F" w:rsidRDefault="00503F2F" w:rsidP="00503F2F">
      <w:pPr>
        <w:jc w:val="center"/>
        <w:rPr>
          <w:b/>
          <w:bCs/>
        </w:rPr>
      </w:pPr>
      <w:r>
        <w:rPr>
          <w:b/>
          <w:bCs/>
        </w:rPr>
        <w:t xml:space="preserve">TP2 : L’acide phosphorique  en solution aqueuse </w:t>
      </w:r>
    </w:p>
    <w:p w14:paraId="114130AA" w14:textId="77777777" w:rsidR="00503F2F" w:rsidRDefault="00503F2F" w:rsidP="00503F2F">
      <w:pPr>
        <w:rPr>
          <w:b/>
          <w:bCs/>
        </w:rPr>
      </w:pPr>
    </w:p>
    <w:p w14:paraId="0CF4B357" w14:textId="77777777" w:rsidR="00503F2F" w:rsidRDefault="00503F2F" w:rsidP="00503F2F">
      <w:pPr>
        <w:rPr>
          <w:b/>
          <w:bCs/>
        </w:rPr>
      </w:pPr>
    </w:p>
    <w:p w14:paraId="18BB7A38" w14:textId="6180CF2A" w:rsidR="008B643A" w:rsidRDefault="00B745A1" w:rsidP="008B643A">
      <w:pPr>
        <w:jc w:val="both"/>
      </w:pPr>
      <w:r>
        <w:t xml:space="preserve">L’acide phosphorique </w:t>
      </w:r>
      <w:r w:rsidRPr="00B745A1">
        <w:t>H</w:t>
      </w:r>
      <w:r w:rsidRPr="00B745A1">
        <w:rPr>
          <w:vertAlign w:val="subscript"/>
        </w:rPr>
        <w:t>3</w:t>
      </w:r>
      <w:r w:rsidRPr="00B745A1">
        <w:t>PO</w:t>
      </w:r>
      <w:r w:rsidRPr="00B745A1">
        <w:rPr>
          <w:vertAlign w:val="subscript"/>
        </w:rPr>
        <w:t>4</w:t>
      </w:r>
      <w:r>
        <w:t xml:space="preserve"> </w:t>
      </w:r>
      <w:r w:rsidRPr="00B745A1">
        <w:t>est</w:t>
      </w:r>
      <w:r>
        <w:t xml:space="preserve"> principalement destiné à la fabrication d’engrais phosphatés , engrais  le plus souvent employés, en association avec l’élément azote.</w:t>
      </w:r>
      <w:r w:rsidR="008B643A">
        <w:t xml:space="preserve"> En 2022 , la capacité mondiale de production est de 220 millions de t , la chine étant le premier producteur . </w:t>
      </w:r>
    </w:p>
    <w:p w14:paraId="25985DF1" w14:textId="312E4861" w:rsidR="008B643A" w:rsidRDefault="008B643A" w:rsidP="008B643A">
      <w:pPr>
        <w:jc w:val="both"/>
      </w:pPr>
      <w:r>
        <w:t xml:space="preserve">L’acide phosphorique est préparé à partir de phosphates naturels, par attaque à l’acide sulfurique. </w:t>
      </w:r>
    </w:p>
    <w:p w14:paraId="386425F8" w14:textId="05EA9064" w:rsidR="008B643A" w:rsidRDefault="008B643A" w:rsidP="008B643A">
      <w:pPr>
        <w:jc w:val="both"/>
      </w:pPr>
      <w:r>
        <w:t xml:space="preserve">Dans l’Union européenne , la seule mine de phosphates en activité, exploitée par </w:t>
      </w:r>
      <w:hyperlink r:id="rId5" w:history="1">
        <w:r>
          <w:rPr>
            <w:rStyle w:val="Lienhypertexte"/>
          </w:rPr>
          <w:t>Yara</w:t>
        </w:r>
      </w:hyperlink>
      <w:r>
        <w:t>, est située en Finlande, à Siilinjärvi. Sa production, en 2020, a été de 995 000 t.</w:t>
      </w:r>
    </w:p>
    <w:p w14:paraId="033C4693" w14:textId="3A6C20B6" w:rsidR="008B643A" w:rsidRDefault="008B643A" w:rsidP="008B643A">
      <w:pPr>
        <w:jc w:val="both"/>
      </w:pPr>
    </w:p>
    <w:p w14:paraId="612FBF82" w14:textId="4B397E80" w:rsidR="008B643A" w:rsidRPr="002909A6" w:rsidRDefault="008B643A" w:rsidP="008B643A">
      <w:pPr>
        <w:jc w:val="both"/>
        <w:rPr>
          <w:rFonts w:ascii="Agency FB" w:hAnsi="Agency FB"/>
          <w:i/>
          <w:iCs/>
        </w:rPr>
      </w:pPr>
      <w:r w:rsidRPr="002909A6">
        <w:rPr>
          <w:rFonts w:ascii="Agency FB" w:hAnsi="Agency FB"/>
          <w:i/>
          <w:iCs/>
        </w:rPr>
        <w:t xml:space="preserve">Les objectifs de ce TP sont </w:t>
      </w:r>
      <w:r w:rsidR="00C95C88" w:rsidRPr="002909A6">
        <w:rPr>
          <w:rFonts w:ascii="Agency FB" w:hAnsi="Agency FB"/>
          <w:i/>
          <w:iCs/>
        </w:rPr>
        <w:t xml:space="preserve">d’illustrer </w:t>
      </w:r>
    </w:p>
    <w:p w14:paraId="5D91886B" w14:textId="29E41B94" w:rsidR="008B643A" w:rsidRPr="002909A6" w:rsidRDefault="00C95C88" w:rsidP="005D39E7">
      <w:pPr>
        <w:pStyle w:val="Paragraphedeliste"/>
        <w:numPr>
          <w:ilvl w:val="0"/>
          <w:numId w:val="1"/>
        </w:numPr>
        <w:jc w:val="both"/>
        <w:rPr>
          <w:rFonts w:ascii="Agency FB" w:hAnsi="Agency FB"/>
          <w:i/>
          <w:iCs/>
        </w:rPr>
      </w:pPr>
      <w:r w:rsidRPr="002909A6">
        <w:rPr>
          <w:rFonts w:ascii="Agency FB" w:hAnsi="Agency FB"/>
          <w:i/>
          <w:iCs/>
        </w:rPr>
        <w:t xml:space="preserve">la méthode  de synthèse industrielle de l’acide phosphorique </w:t>
      </w:r>
    </w:p>
    <w:p w14:paraId="3A7BAD47" w14:textId="338F42CA" w:rsidR="00C95C88" w:rsidRPr="002909A6" w:rsidRDefault="00C95C88" w:rsidP="005D39E7">
      <w:pPr>
        <w:pStyle w:val="Paragraphedeliste"/>
        <w:numPr>
          <w:ilvl w:val="0"/>
          <w:numId w:val="1"/>
        </w:numPr>
        <w:jc w:val="both"/>
        <w:rPr>
          <w:rFonts w:ascii="Agency FB" w:hAnsi="Agency FB"/>
          <w:i/>
          <w:iCs/>
        </w:rPr>
      </w:pPr>
      <w:r w:rsidRPr="002909A6">
        <w:rPr>
          <w:rFonts w:ascii="Agency FB" w:hAnsi="Agency FB"/>
          <w:i/>
          <w:iCs/>
        </w:rPr>
        <w:t xml:space="preserve">les titrages acido -basiques en solution aqueuse </w:t>
      </w:r>
      <w:r w:rsidR="005D39E7" w:rsidRPr="002909A6">
        <w:rPr>
          <w:rFonts w:ascii="Agency FB" w:hAnsi="Agency FB"/>
          <w:i/>
          <w:iCs/>
        </w:rPr>
        <w:t xml:space="preserve"> </w:t>
      </w:r>
    </w:p>
    <w:p w14:paraId="7B72A7E1" w14:textId="789F4B7C" w:rsidR="00C95C88" w:rsidRDefault="00C95C88" w:rsidP="008B643A">
      <w:pPr>
        <w:jc w:val="both"/>
      </w:pPr>
    </w:p>
    <w:p w14:paraId="121FD1DB" w14:textId="69C27122" w:rsidR="00C95C88" w:rsidRDefault="00C95C88" w:rsidP="008B643A">
      <w:pPr>
        <w:jc w:val="both"/>
      </w:pPr>
    </w:p>
    <w:p w14:paraId="637B167E" w14:textId="041AC442" w:rsidR="00C95C88" w:rsidRDefault="00C95C88" w:rsidP="008B643A">
      <w:pPr>
        <w:jc w:val="both"/>
      </w:pPr>
    </w:p>
    <w:p w14:paraId="11E7BB59" w14:textId="65A6C3C1" w:rsidR="00C95C88" w:rsidRPr="00C95C88" w:rsidRDefault="00C95C88" w:rsidP="00C95C88">
      <w:pPr>
        <w:jc w:val="center"/>
        <w:rPr>
          <w:b/>
          <w:bCs/>
          <w:bdr w:val="single" w:sz="12" w:space="0" w:color="auto"/>
        </w:rPr>
      </w:pPr>
      <w:r w:rsidRPr="00C95C88">
        <w:rPr>
          <w:b/>
          <w:bCs/>
          <w:bdr w:val="single" w:sz="12" w:space="0" w:color="auto"/>
        </w:rPr>
        <w:t>1</w:t>
      </w:r>
      <w:r w:rsidRPr="00C95C88">
        <w:rPr>
          <w:b/>
          <w:bCs/>
          <w:bdr w:val="single" w:sz="12" w:space="0" w:color="auto"/>
          <w:vertAlign w:val="superscript"/>
        </w:rPr>
        <w:t>ère</w:t>
      </w:r>
      <w:r w:rsidRPr="00C95C88">
        <w:rPr>
          <w:b/>
          <w:bCs/>
          <w:bdr w:val="single" w:sz="12" w:space="0" w:color="auto"/>
        </w:rPr>
        <w:t xml:space="preserve"> partie : obtention de l’acide phosphorique</w:t>
      </w:r>
    </w:p>
    <w:p w14:paraId="5CF7D7F8" w14:textId="2B253C88" w:rsidR="00C95C88" w:rsidRDefault="00C95C88" w:rsidP="008B643A">
      <w:pPr>
        <w:jc w:val="both"/>
      </w:pPr>
    </w:p>
    <w:p w14:paraId="4E8FF569" w14:textId="26F27C27" w:rsidR="00C95C88" w:rsidRDefault="00C95C88" w:rsidP="008B643A">
      <w:pPr>
        <w:jc w:val="both"/>
      </w:pPr>
      <w:r>
        <w:t>Conformément à la synthèse industrielle , l’acide phosphorique est préparé par action de l’acide sulfurique sur du phosphate de calcium  contenu dans les minerais .</w:t>
      </w:r>
    </w:p>
    <w:p w14:paraId="7EF29280" w14:textId="77777777" w:rsidR="00C95C88" w:rsidRDefault="00C95C88" w:rsidP="008B643A">
      <w:pPr>
        <w:jc w:val="both"/>
      </w:pPr>
    </w:p>
    <w:p w14:paraId="72DBDC7C" w14:textId="7939FF14" w:rsidR="00C95C88" w:rsidRDefault="00C95C88" w:rsidP="008B643A">
      <w:pPr>
        <w:jc w:val="both"/>
      </w:pPr>
      <w:r>
        <w:t xml:space="preserve">Le mode opératoire à mettre en œuvre est le suivant : </w:t>
      </w:r>
    </w:p>
    <w:p w14:paraId="49436B60" w14:textId="5F917C53" w:rsidR="00C95C88" w:rsidRDefault="004F077A" w:rsidP="004F077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142"/>
        <w:jc w:val="both"/>
      </w:pPr>
      <w:r>
        <w:t xml:space="preserve"> </w:t>
      </w:r>
      <w:r w:rsidR="00C95C88">
        <w:t xml:space="preserve">Introduire dans un bécher de 250 mL , 75 mL de la solution d’acide sulfurique de concentration </w:t>
      </w:r>
      <w:r>
        <w:t xml:space="preserve">  </w:t>
      </w:r>
      <w:r w:rsidR="00C95C88">
        <w:t>C = 0,5 molL</w:t>
      </w:r>
      <w:r w:rsidR="00C95C88">
        <w:rPr>
          <w:vertAlign w:val="superscript"/>
        </w:rPr>
        <w:t>-1</w:t>
      </w:r>
      <w:r w:rsidR="00C95C88">
        <w:t>. Ajouter</w:t>
      </w:r>
      <w:r>
        <w:t xml:space="preserve"> progressivement </w:t>
      </w:r>
      <w:r w:rsidR="00C95C88">
        <w:t xml:space="preserve"> sous agitation 3,9</w:t>
      </w:r>
      <w:r w:rsidR="004E70B8">
        <w:t>0</w:t>
      </w:r>
      <w:r w:rsidR="00C95C88">
        <w:t xml:space="preserve"> g de phosphate tricalcique . </w:t>
      </w:r>
    </w:p>
    <w:p w14:paraId="0F37CCB5" w14:textId="2C9CE27A" w:rsidR="00430F81" w:rsidRDefault="00C95C88" w:rsidP="004F077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142"/>
        <w:jc w:val="both"/>
      </w:pPr>
      <w:r>
        <w:t>Après une quinzaine de minutes d’agitation ,</w:t>
      </w:r>
      <w:r w:rsidR="00430F81">
        <w:t xml:space="preserve"> filtrer , laver le solide  à l’eau distillée et </w:t>
      </w:r>
      <w:r w:rsidR="00430F81" w:rsidRPr="005D39E7">
        <w:rPr>
          <w:b/>
          <w:bCs/>
          <w:u w:val="single"/>
        </w:rPr>
        <w:t>récupérer le filtrat</w:t>
      </w:r>
      <w:r w:rsidR="00430F81">
        <w:t xml:space="preserve"> </w:t>
      </w:r>
      <w:r w:rsidR="004F077A">
        <w:t>.</w:t>
      </w:r>
    </w:p>
    <w:p w14:paraId="01F25864" w14:textId="1561245B" w:rsidR="00C95C88" w:rsidRDefault="00430F81" w:rsidP="004F077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142"/>
        <w:jc w:val="both"/>
      </w:pPr>
      <w:r>
        <w:t>Le solide s</w:t>
      </w:r>
      <w:r w:rsidR="00C95C88">
        <w:t>’identifie à</w:t>
      </w:r>
      <w:r>
        <w:t xml:space="preserve"> du </w:t>
      </w:r>
      <w:r w:rsidR="00C95C88">
        <w:t xml:space="preserve"> phosphogypse (sulfate de calcium di hydraté)</w:t>
      </w:r>
      <w:r>
        <w:t> ; le s</w:t>
      </w:r>
      <w:r w:rsidR="00C95C88">
        <w:t>écher à l’étuve à 50°C pend</w:t>
      </w:r>
      <w:r w:rsidR="00B34D99">
        <w:t>an</w:t>
      </w:r>
      <w:r w:rsidR="00C95C88">
        <w:t xml:space="preserve">t 30 minutes . Peser après séchage . </w:t>
      </w:r>
    </w:p>
    <w:p w14:paraId="6DA31ADC" w14:textId="254A4F14" w:rsidR="00C95C88" w:rsidRDefault="00C95C88" w:rsidP="008B643A">
      <w:pPr>
        <w:jc w:val="both"/>
      </w:pPr>
    </w:p>
    <w:p w14:paraId="61DA08CE" w14:textId="0490BF06" w:rsidR="00C95C88" w:rsidRDefault="00C95C88" w:rsidP="008B643A">
      <w:pPr>
        <w:jc w:val="both"/>
      </w:pPr>
    </w:p>
    <w:p w14:paraId="3FFD0A25" w14:textId="27735461" w:rsidR="00C95C88" w:rsidRDefault="00C95C88" w:rsidP="008B643A">
      <w:pPr>
        <w:jc w:val="both"/>
      </w:pPr>
      <w:r w:rsidRPr="00B10CC4">
        <w:rPr>
          <w:b/>
          <w:bCs/>
        </w:rPr>
        <w:t>Q1</w:t>
      </w:r>
      <w:r>
        <w:t xml:space="preserve">. </w:t>
      </w:r>
      <w:r w:rsidR="00B34D99">
        <w:t xml:space="preserve">Ecrire l’équation -bilan de la réaction modélisant la transformation  chimique réalisée . </w:t>
      </w:r>
    </w:p>
    <w:p w14:paraId="2ED385BE" w14:textId="03BE8645" w:rsidR="00B34D99" w:rsidRDefault="00B34D99" w:rsidP="008B643A">
      <w:pPr>
        <w:jc w:val="both"/>
      </w:pPr>
    </w:p>
    <w:p w14:paraId="3F31BA0B" w14:textId="30612176" w:rsidR="00B34D99" w:rsidRDefault="00B34D99" w:rsidP="008B643A">
      <w:pPr>
        <w:jc w:val="both"/>
      </w:pPr>
      <w:r w:rsidRPr="00B10CC4">
        <w:rPr>
          <w:b/>
          <w:bCs/>
        </w:rPr>
        <w:t>Q2</w:t>
      </w:r>
      <w:r>
        <w:t xml:space="preserve">. Quel est le rôle du lavage à l’eau distillée ? </w:t>
      </w:r>
    </w:p>
    <w:p w14:paraId="194D8662" w14:textId="4E292143" w:rsidR="00B34D99" w:rsidRDefault="00B34D99" w:rsidP="008B643A">
      <w:pPr>
        <w:jc w:val="both"/>
      </w:pPr>
    </w:p>
    <w:p w14:paraId="1AEDE201" w14:textId="60E60043" w:rsidR="00B34D99" w:rsidRPr="00C95C88" w:rsidRDefault="00B34D99" w:rsidP="008B643A">
      <w:pPr>
        <w:jc w:val="both"/>
      </w:pPr>
      <w:r w:rsidRPr="00B10CC4">
        <w:rPr>
          <w:b/>
          <w:bCs/>
        </w:rPr>
        <w:t>Q3</w:t>
      </w:r>
      <w:r>
        <w:t xml:space="preserve">. A partir de la masse de phosphogypse sec , évaluer le rendement en acide phosphorique et </w:t>
      </w:r>
      <w:r w:rsidR="00B10CC4">
        <w:t xml:space="preserve"> l’utiliser pour </w:t>
      </w:r>
      <w:r>
        <w:t xml:space="preserve"> </w:t>
      </w:r>
      <w:r w:rsidR="00B10CC4">
        <w:t xml:space="preserve">évaluer </w:t>
      </w:r>
      <w:r>
        <w:t xml:space="preserve"> la masse de minerai ( phosphate tricalcique) nécessaire à la production d’une tonne d’acide phosphorique . </w:t>
      </w:r>
    </w:p>
    <w:p w14:paraId="0599B09E" w14:textId="74195FDB" w:rsidR="00C95C88" w:rsidRDefault="00C95C88" w:rsidP="008B643A">
      <w:pPr>
        <w:jc w:val="both"/>
      </w:pPr>
      <w:r>
        <w:t xml:space="preserve"> </w:t>
      </w:r>
    </w:p>
    <w:p w14:paraId="788FD153" w14:textId="362DF1B4" w:rsidR="008B643A" w:rsidRPr="002909A6" w:rsidRDefault="005D39E7">
      <w:pPr>
        <w:rPr>
          <w:i/>
          <w:iCs/>
        </w:rPr>
      </w:pPr>
      <w:r w:rsidRPr="002909A6">
        <w:rPr>
          <w:i/>
          <w:iCs/>
        </w:rPr>
        <w:t>La suite a pour but de déterminer u</w:t>
      </w:r>
      <w:r w:rsidR="002909A6">
        <w:rPr>
          <w:i/>
          <w:iCs/>
        </w:rPr>
        <w:t>ne</w:t>
      </w:r>
      <w:r w:rsidRPr="002909A6">
        <w:rPr>
          <w:i/>
          <w:iCs/>
        </w:rPr>
        <w:t xml:space="preserve"> deuxième estimation de ce rendement en procédant à un titrage acido-basique du filtrat .</w:t>
      </w:r>
    </w:p>
    <w:p w14:paraId="5C3860C4" w14:textId="1B9E4ED9" w:rsidR="005D39E7" w:rsidRDefault="005D39E7"/>
    <w:p w14:paraId="2343A71C" w14:textId="21D683B8" w:rsidR="002909A6" w:rsidRDefault="002909A6"/>
    <w:p w14:paraId="3D87F2F9" w14:textId="23811F16" w:rsidR="00FA2FBA" w:rsidRDefault="00FA2FBA"/>
    <w:p w14:paraId="2B9266A9" w14:textId="2A7928CE" w:rsidR="00FA2FBA" w:rsidRDefault="00FA2FBA"/>
    <w:p w14:paraId="051F1E49" w14:textId="15D999E2" w:rsidR="00FA2FBA" w:rsidRDefault="00FA2FBA"/>
    <w:p w14:paraId="57F131E4" w14:textId="19A91D11" w:rsidR="00FA2FBA" w:rsidRDefault="00FA2FBA"/>
    <w:p w14:paraId="07CCD83E" w14:textId="58906570" w:rsidR="004F077A" w:rsidRDefault="004F077A"/>
    <w:p w14:paraId="36906C41" w14:textId="77777777" w:rsidR="004F077A" w:rsidRDefault="004F077A"/>
    <w:p w14:paraId="239B9092" w14:textId="2205EB1C" w:rsidR="00FA2FBA" w:rsidRDefault="00FA2FBA"/>
    <w:p w14:paraId="5819623E" w14:textId="60DAD2E4" w:rsidR="00FA2FBA" w:rsidRDefault="00FA2FBA"/>
    <w:p w14:paraId="45D96406" w14:textId="77777777" w:rsidR="00FA2FBA" w:rsidRDefault="00FA2FBA"/>
    <w:p w14:paraId="00CB293D" w14:textId="2FB1ED44" w:rsidR="005D39E7" w:rsidRPr="00C95C88" w:rsidRDefault="005D39E7" w:rsidP="005D39E7">
      <w:pPr>
        <w:jc w:val="center"/>
        <w:rPr>
          <w:b/>
          <w:bCs/>
          <w:bdr w:val="single" w:sz="12" w:space="0" w:color="auto"/>
        </w:rPr>
      </w:pPr>
      <w:r>
        <w:rPr>
          <w:b/>
          <w:bCs/>
          <w:bdr w:val="single" w:sz="12" w:space="0" w:color="auto"/>
        </w:rPr>
        <w:lastRenderedPageBreak/>
        <w:t>2</w:t>
      </w:r>
      <w:r w:rsidRPr="005D39E7">
        <w:rPr>
          <w:b/>
          <w:bCs/>
          <w:bdr w:val="single" w:sz="12" w:space="0" w:color="auto"/>
          <w:vertAlign w:val="superscript"/>
        </w:rPr>
        <w:t>ème</w:t>
      </w:r>
      <w:r>
        <w:rPr>
          <w:b/>
          <w:bCs/>
          <w:bdr w:val="single" w:sz="12" w:space="0" w:color="auto"/>
        </w:rPr>
        <w:t xml:space="preserve"> partie </w:t>
      </w:r>
      <w:r w:rsidRPr="00C95C88">
        <w:rPr>
          <w:b/>
          <w:bCs/>
          <w:bdr w:val="single" w:sz="12" w:space="0" w:color="auto"/>
        </w:rPr>
        <w:t xml:space="preserve"> : </w:t>
      </w:r>
      <w:r w:rsidR="002909A6">
        <w:rPr>
          <w:b/>
          <w:bCs/>
          <w:bdr w:val="single" w:sz="12" w:space="0" w:color="auto"/>
        </w:rPr>
        <w:t xml:space="preserve">Titrage acido-basique du filtrat </w:t>
      </w:r>
    </w:p>
    <w:p w14:paraId="0CF9BEAA" w14:textId="77777777" w:rsidR="005D39E7" w:rsidRDefault="005D39E7" w:rsidP="005D39E7">
      <w:pPr>
        <w:jc w:val="both"/>
      </w:pPr>
    </w:p>
    <w:p w14:paraId="58A0AD15" w14:textId="174D30B9" w:rsidR="00B745A1" w:rsidRDefault="002909A6">
      <w:r w:rsidRPr="00594089">
        <w:rPr>
          <w:b/>
          <w:bCs/>
        </w:rPr>
        <w:t>Q4</w:t>
      </w:r>
      <w:r w:rsidR="00347AAB">
        <w:rPr>
          <w:b/>
          <w:bCs/>
        </w:rPr>
        <w:t xml:space="preserve"> </w:t>
      </w:r>
      <w:r>
        <w:t>.</w:t>
      </w:r>
      <w:r w:rsidR="00347AAB">
        <w:t xml:space="preserve"> </w:t>
      </w:r>
      <w:r w:rsidR="00594089">
        <w:t xml:space="preserve">Rappeler la chaine de mesure d’un pH . Indiquer comment étalonner le pH -mètre si besoin. </w:t>
      </w:r>
    </w:p>
    <w:p w14:paraId="0752D99D" w14:textId="10731C8D" w:rsidR="00430F81" w:rsidRDefault="00430F81"/>
    <w:p w14:paraId="2B1B0FC3" w14:textId="7EF24844" w:rsidR="00430F81" w:rsidRPr="004E70B8" w:rsidRDefault="00430F81" w:rsidP="004F077A">
      <w:pPr>
        <w:jc w:val="both"/>
      </w:pPr>
      <w:r w:rsidRPr="00347AAB">
        <w:rPr>
          <w:b/>
          <w:bCs/>
        </w:rPr>
        <w:t>Q5</w:t>
      </w:r>
      <w:r>
        <w:rPr>
          <w:b/>
          <w:bCs/>
        </w:rPr>
        <w:t xml:space="preserve">. </w:t>
      </w:r>
      <w:r w:rsidRPr="004E70B8">
        <w:rPr>
          <w:b/>
          <w:bCs/>
          <w:u w:val="single"/>
        </w:rPr>
        <w:t>Expérience 1 :</w:t>
      </w:r>
      <w:r w:rsidRPr="004E70B8">
        <w:t xml:space="preserve"> </w:t>
      </w:r>
      <w:r w:rsidR="004E70B8" w:rsidRPr="004E70B8">
        <w:t xml:space="preserve">Diluer 5 fois la solution d’acide sulfurique fournie et procéder au dosage pH-métrique d’un échantillon de  5 mL de la solution diluée  par la soude de concentration C = 0,10 </w:t>
      </w:r>
      <w:r w:rsidR="004E70B8" w:rsidRPr="004E70B8">
        <w:rPr>
          <w:rFonts w:ascii="Lucida Sans Unicode" w:hAnsi="Lucida Sans Unicode" w:cs="Lucida Sans Unicode"/>
        </w:rPr>
        <w:t>±</w:t>
      </w:r>
      <w:r w:rsidR="004E70B8" w:rsidRPr="004E70B8">
        <w:t xml:space="preserve"> 0,01 molL</w:t>
      </w:r>
      <w:r w:rsidR="004E70B8" w:rsidRPr="004E70B8">
        <w:rPr>
          <w:vertAlign w:val="superscript"/>
        </w:rPr>
        <w:t>-1</w:t>
      </w:r>
      <w:r w:rsidR="004E70B8">
        <w:t xml:space="preserve"> . </w:t>
      </w:r>
    </w:p>
    <w:p w14:paraId="4E5C590D" w14:textId="47D116D9" w:rsidR="00594089" w:rsidRDefault="00594089" w:rsidP="004F077A">
      <w:pPr>
        <w:jc w:val="both"/>
      </w:pPr>
    </w:p>
    <w:p w14:paraId="3B66557B" w14:textId="1C4838E5" w:rsidR="00594089" w:rsidRDefault="00594089" w:rsidP="004F077A">
      <w:pPr>
        <w:jc w:val="both"/>
      </w:pPr>
      <w:r w:rsidRPr="00347AAB">
        <w:rPr>
          <w:b/>
          <w:bCs/>
        </w:rPr>
        <w:t>Q</w:t>
      </w:r>
      <w:r w:rsidR="00430F81">
        <w:rPr>
          <w:b/>
          <w:bCs/>
        </w:rPr>
        <w:t>6</w:t>
      </w:r>
      <w:r>
        <w:t xml:space="preserve">. </w:t>
      </w:r>
      <w:r w:rsidRPr="004E70B8">
        <w:rPr>
          <w:b/>
          <w:bCs/>
          <w:u w:val="single"/>
        </w:rPr>
        <w:t>Expérience</w:t>
      </w:r>
      <w:r w:rsidR="004E70B8" w:rsidRPr="004E70B8">
        <w:rPr>
          <w:b/>
          <w:bCs/>
          <w:u w:val="single"/>
        </w:rPr>
        <w:t xml:space="preserve"> 2</w:t>
      </w:r>
      <w:r>
        <w:t xml:space="preserve"> : </w:t>
      </w:r>
      <w:r w:rsidR="00347AAB">
        <w:t>P</w:t>
      </w:r>
      <w:r>
        <w:t xml:space="preserve">rélever 10 mL  du filtrat et diluer 10 fois . Doser </w:t>
      </w:r>
      <w:r w:rsidR="00347AAB">
        <w:t xml:space="preserve">20 mL de la </w:t>
      </w:r>
      <w:r>
        <w:t xml:space="preserve"> solution diluée par la soude de concentration C = 0,1</w:t>
      </w:r>
      <w:r w:rsidR="00347AAB">
        <w:t xml:space="preserve">0 </w:t>
      </w:r>
      <w:r w:rsidR="00347AAB">
        <w:rPr>
          <w:rFonts w:ascii="Lucida Sans Unicode" w:hAnsi="Lucida Sans Unicode" w:cs="Lucida Sans Unicode"/>
        </w:rPr>
        <w:t>±</w:t>
      </w:r>
      <w:r w:rsidR="00347AAB">
        <w:t xml:space="preserve"> 0,01 molL</w:t>
      </w:r>
      <w:r w:rsidR="00347AAB">
        <w:rPr>
          <w:vertAlign w:val="superscript"/>
        </w:rPr>
        <w:t>-1</w:t>
      </w:r>
      <w:r w:rsidR="00347AAB">
        <w:t xml:space="preserve">. Tracer soigneusement la courbe de variation du pH au cours de ce dosage .  </w:t>
      </w:r>
    </w:p>
    <w:p w14:paraId="59B4A3F3" w14:textId="77777777" w:rsidR="008A69AB" w:rsidRDefault="008A69AB"/>
    <w:p w14:paraId="0FF0F92D" w14:textId="0BC62356" w:rsidR="00347AAB" w:rsidRDefault="00347AAB">
      <w:r>
        <w:rPr>
          <w:b/>
          <w:bCs/>
        </w:rPr>
        <w:t>Q</w:t>
      </w:r>
      <w:r w:rsidR="00BC5B1C">
        <w:rPr>
          <w:b/>
          <w:bCs/>
        </w:rPr>
        <w:t>7</w:t>
      </w:r>
      <w:r>
        <w:rPr>
          <w:b/>
          <w:bCs/>
        </w:rPr>
        <w:t xml:space="preserve">. </w:t>
      </w:r>
      <w:r>
        <w:t>A l’aide du logiciel DOZZZAQUEUX , tracer la courbe de simulation de dosage pH-métrique de 10 mL d’une solution d’acide phosphorique par une solution de soude , on prendra la même concentration pour les 2 solutions C = 0,1 molL</w:t>
      </w:r>
      <w:r>
        <w:rPr>
          <w:vertAlign w:val="superscript"/>
        </w:rPr>
        <w:t>-1</w:t>
      </w:r>
      <w:r>
        <w:t xml:space="preserve"> . </w:t>
      </w:r>
    </w:p>
    <w:p w14:paraId="0DEAC12F" w14:textId="6A9DA705" w:rsidR="00347AAB" w:rsidRDefault="00347AAB">
      <w:r>
        <w:t>Interp</w:t>
      </w:r>
      <w:r w:rsidR="00A0526F">
        <w:t>r</w:t>
      </w:r>
      <w:r>
        <w:t xml:space="preserve">éter l’allure de cette courbe . </w:t>
      </w:r>
    </w:p>
    <w:p w14:paraId="4009393A" w14:textId="3CE54B13" w:rsidR="00347AAB" w:rsidRDefault="00347AAB"/>
    <w:p w14:paraId="1C2F9682" w14:textId="63907878" w:rsidR="00456165" w:rsidRPr="00456165" w:rsidRDefault="00347AAB" w:rsidP="008A69AB">
      <w:pPr>
        <w:jc w:val="both"/>
      </w:pPr>
      <w:r w:rsidRPr="00347AAB">
        <w:rPr>
          <w:b/>
          <w:bCs/>
        </w:rPr>
        <w:t>Q</w:t>
      </w:r>
      <w:r w:rsidR="00BC5B1C">
        <w:rPr>
          <w:b/>
          <w:bCs/>
        </w:rPr>
        <w:t>8</w:t>
      </w:r>
      <w:r>
        <w:t xml:space="preserve">. </w:t>
      </w:r>
      <w:r w:rsidR="00456165">
        <w:t>A l’aide du logiciel DOZZZAQUEUX , tracer la courbe de simulation de dosage pH-métrique de 10 mL d’une solution constituée d’un mélange d’acide phosphorique ( concentration C</w:t>
      </w:r>
      <w:r w:rsidR="00456165">
        <w:rPr>
          <w:vertAlign w:val="subscript"/>
        </w:rPr>
        <w:t>P</w:t>
      </w:r>
      <w:r w:rsidR="00456165">
        <w:t xml:space="preserve"> = 0,1 molL</w:t>
      </w:r>
      <w:r w:rsidR="00456165">
        <w:rPr>
          <w:vertAlign w:val="superscript"/>
        </w:rPr>
        <w:t>-1</w:t>
      </w:r>
      <w:r w:rsidR="00456165">
        <w:t xml:space="preserve">) et  d’acide sulfurique ( concentration </w:t>
      </w:r>
      <w:r w:rsidR="00456165" w:rsidRPr="00456165">
        <w:t>C</w:t>
      </w:r>
      <w:r w:rsidR="00456165" w:rsidRPr="00456165">
        <w:rPr>
          <w:vertAlign w:val="subscript"/>
        </w:rPr>
        <w:t>S</w:t>
      </w:r>
      <w:r w:rsidR="00456165">
        <w:t xml:space="preserve"> )   par une solution de soude  de concentration C = 0, 5  molL</w:t>
      </w:r>
      <w:r w:rsidR="00456165">
        <w:rPr>
          <w:vertAlign w:val="superscript"/>
        </w:rPr>
        <w:t>-1</w:t>
      </w:r>
      <w:r w:rsidR="00456165">
        <w:t xml:space="preserve"> .Faire varier la concentration C</w:t>
      </w:r>
      <w:r w:rsidR="00456165">
        <w:rPr>
          <w:vertAlign w:val="subscript"/>
        </w:rPr>
        <w:t>S</w:t>
      </w:r>
      <w:r w:rsidR="00456165">
        <w:t> :   0,05 molL</w:t>
      </w:r>
      <w:r w:rsidR="00456165">
        <w:rPr>
          <w:vertAlign w:val="superscript"/>
        </w:rPr>
        <w:t>-1</w:t>
      </w:r>
      <w:r w:rsidR="00456165">
        <w:t xml:space="preserve">     0,1 molL</w:t>
      </w:r>
      <w:r w:rsidR="00456165">
        <w:rPr>
          <w:vertAlign w:val="superscript"/>
        </w:rPr>
        <w:t>-1</w:t>
      </w:r>
      <w:r w:rsidR="00456165">
        <w:t xml:space="preserve">    0,2 molL</w:t>
      </w:r>
      <w:r w:rsidR="00456165">
        <w:rPr>
          <w:vertAlign w:val="superscript"/>
        </w:rPr>
        <w:t>-1</w:t>
      </w:r>
      <w:r w:rsidR="00456165">
        <w:t xml:space="preserve">   </w:t>
      </w:r>
    </w:p>
    <w:p w14:paraId="437DEC0C" w14:textId="17D8AE71" w:rsidR="00347AAB" w:rsidRDefault="00456165" w:rsidP="008A69AB">
      <w:pPr>
        <w:jc w:val="both"/>
      </w:pPr>
      <w:r>
        <w:t>Interpréter l’allure des courbes obtenues et leur évolution avec la conc</w:t>
      </w:r>
      <w:r w:rsidR="00A0526F">
        <w:t>en</w:t>
      </w:r>
      <w:r>
        <w:t>tration C</w:t>
      </w:r>
      <w:r>
        <w:rPr>
          <w:vertAlign w:val="subscript"/>
        </w:rPr>
        <w:t>S</w:t>
      </w:r>
      <w:r>
        <w:t xml:space="preserve"> . </w:t>
      </w:r>
    </w:p>
    <w:p w14:paraId="4D3CB748" w14:textId="2D50116F" w:rsidR="00456165" w:rsidRDefault="00456165" w:rsidP="00456165"/>
    <w:p w14:paraId="73B9A5B7" w14:textId="6A8CB819" w:rsidR="00456165" w:rsidRPr="004F077A" w:rsidRDefault="00456165" w:rsidP="008A69AB">
      <w:pPr>
        <w:jc w:val="both"/>
      </w:pPr>
      <w:r w:rsidRPr="00456165">
        <w:rPr>
          <w:b/>
          <w:bCs/>
        </w:rPr>
        <w:t>Q</w:t>
      </w:r>
      <w:r w:rsidR="00BC5B1C">
        <w:rPr>
          <w:b/>
          <w:bCs/>
        </w:rPr>
        <w:t>9</w:t>
      </w:r>
      <w:r w:rsidRPr="00456165">
        <w:rPr>
          <w:b/>
          <w:bCs/>
        </w:rPr>
        <w:t xml:space="preserve">. </w:t>
      </w:r>
      <w:r w:rsidRPr="00456165">
        <w:t>Interpréter la courbe expérimentale</w:t>
      </w:r>
      <w:r w:rsidR="00430F81">
        <w:t xml:space="preserve"> ; </w:t>
      </w:r>
      <w:r w:rsidRPr="00456165">
        <w:t xml:space="preserve"> en déduire</w:t>
      </w:r>
      <w:r w:rsidR="00430F81">
        <w:t xml:space="preserve"> en fonction des volumes équivalents observés </w:t>
      </w:r>
      <w:r w:rsidRPr="00456165">
        <w:t>le rendement  de sa formation</w:t>
      </w:r>
      <w:r w:rsidR="00430F81">
        <w:t xml:space="preserve"> ; </w:t>
      </w:r>
      <w:r w:rsidR="00430F81" w:rsidRPr="004E70B8">
        <w:rPr>
          <w:b/>
          <w:bCs/>
          <w:u w:val="single"/>
        </w:rPr>
        <w:t>l’expre</w:t>
      </w:r>
      <w:r w:rsidR="004E70B8" w:rsidRPr="004E70B8">
        <w:rPr>
          <w:b/>
          <w:bCs/>
          <w:u w:val="single"/>
        </w:rPr>
        <w:t>s</w:t>
      </w:r>
      <w:r w:rsidR="00430F81" w:rsidRPr="004E70B8">
        <w:rPr>
          <w:b/>
          <w:bCs/>
          <w:u w:val="single"/>
        </w:rPr>
        <w:t xml:space="preserve">sion du rendement doit être établie uniquement en fonction des volumes équivalents . </w:t>
      </w:r>
    </w:p>
    <w:p w14:paraId="698072F9" w14:textId="257970AF" w:rsidR="00FA2FBA" w:rsidRDefault="00456165" w:rsidP="001004A3">
      <w:pPr>
        <w:jc w:val="both"/>
      </w:pPr>
      <w:r w:rsidRPr="00456165">
        <w:t xml:space="preserve">Comparer à la valeur obtenue à partir de la masse de phosphogypse . </w:t>
      </w:r>
    </w:p>
    <w:p w14:paraId="3EE4AC1C" w14:textId="65AB9366" w:rsidR="004F077A" w:rsidRDefault="004F077A" w:rsidP="001004A3">
      <w:pPr>
        <w:jc w:val="both"/>
      </w:pPr>
    </w:p>
    <w:p w14:paraId="0242991C" w14:textId="6597653C" w:rsidR="004F077A" w:rsidRDefault="004F077A" w:rsidP="001004A3">
      <w:pPr>
        <w:jc w:val="both"/>
      </w:pPr>
      <w:r w:rsidRPr="004F077A">
        <w:rPr>
          <w:b/>
          <w:bCs/>
        </w:rPr>
        <w:t>Q</w:t>
      </w:r>
      <w:r w:rsidR="00BC5B1C">
        <w:rPr>
          <w:b/>
          <w:bCs/>
        </w:rPr>
        <w:t>10</w:t>
      </w:r>
      <w:r w:rsidRPr="004F077A">
        <w:rPr>
          <w:b/>
          <w:bCs/>
        </w:rPr>
        <w:t>.</w:t>
      </w:r>
      <w:r>
        <w:t xml:space="preserve"> Connaissez vous des applications du phosphogypse</w:t>
      </w:r>
      <w:r w:rsidR="00817C30">
        <w:t xml:space="preserve"> </w:t>
      </w:r>
      <w:r>
        <w:t xml:space="preserve">? </w:t>
      </w:r>
    </w:p>
    <w:p w14:paraId="29541978" w14:textId="1A61D9A7" w:rsidR="00FA2FBA" w:rsidRDefault="00FA2FBA" w:rsidP="00456165"/>
    <w:p w14:paraId="284A0019" w14:textId="19F3E743" w:rsidR="001004A3" w:rsidRDefault="001440D1" w:rsidP="001004A3">
      <w:pPr>
        <w:jc w:val="both"/>
      </w:pPr>
      <w:r w:rsidRPr="001004A3">
        <w:rPr>
          <w:b/>
          <w:bCs/>
        </w:rPr>
        <w:t>Q</w:t>
      </w:r>
      <w:r w:rsidR="004F077A">
        <w:rPr>
          <w:b/>
          <w:bCs/>
        </w:rPr>
        <w:t>1</w:t>
      </w:r>
      <w:r w:rsidR="00BC5B1C">
        <w:rPr>
          <w:b/>
          <w:bCs/>
        </w:rPr>
        <w:t>1</w:t>
      </w:r>
      <w:r>
        <w:t xml:space="preserve"> . Pour aller plus loin : titrage de la soude par  H</w:t>
      </w:r>
      <w:r>
        <w:rPr>
          <w:vertAlign w:val="subscript"/>
        </w:rPr>
        <w:t>3</w:t>
      </w:r>
      <w:r>
        <w:t>PO</w:t>
      </w:r>
      <w:r>
        <w:rPr>
          <w:vertAlign w:val="subscript"/>
        </w:rPr>
        <w:t>4</w:t>
      </w:r>
      <w:r>
        <w:t xml:space="preserve">  </w:t>
      </w:r>
      <w:r w:rsidR="001004A3">
        <w:t xml:space="preserve">: A l’aide du logiciel DOZZZAQUEUX , tracer la courbe de simulation de dosage pH-métrique de 10 mL d’une solution de soude  C = 0,01 </w:t>
      </w:r>
      <w:r w:rsidR="001004A3" w:rsidRPr="001004A3">
        <w:t>molL</w:t>
      </w:r>
      <w:r w:rsidR="001004A3" w:rsidRPr="001004A3">
        <w:rPr>
          <w:vertAlign w:val="superscript"/>
        </w:rPr>
        <w:t>-1</w:t>
      </w:r>
      <w:r w:rsidR="001004A3">
        <w:t xml:space="preserve">  par une solution d’acide phosphorique de  même  concentration  . </w:t>
      </w:r>
    </w:p>
    <w:p w14:paraId="4EA11B8A" w14:textId="37D86F9E" w:rsidR="001004A3" w:rsidRPr="00456165" w:rsidRDefault="001004A3" w:rsidP="001004A3">
      <w:pPr>
        <w:jc w:val="both"/>
      </w:pPr>
      <w:r>
        <w:t xml:space="preserve">Interpréter cette courbe en indiquant les équations bilan des réactions support du dosage dans les différentes parties de la courbe . </w:t>
      </w:r>
    </w:p>
    <w:p w14:paraId="5F22F6B9" w14:textId="5B5FFA7C" w:rsidR="00FA2FBA" w:rsidRDefault="00FA2FBA" w:rsidP="00456165"/>
    <w:p w14:paraId="0C195ABD" w14:textId="2CD04EC1" w:rsidR="00FA2FBA" w:rsidRDefault="00FA2FBA" w:rsidP="00456165">
      <w:pPr>
        <w:rPr>
          <w:b/>
          <w:bCs/>
          <w:i/>
          <w:iCs/>
        </w:rPr>
      </w:pPr>
      <w:r w:rsidRPr="008A69AB">
        <w:rPr>
          <w:b/>
          <w:bCs/>
          <w:i/>
          <w:iCs/>
        </w:rPr>
        <w:t>Données</w:t>
      </w:r>
      <w:r w:rsidR="008A69AB">
        <w:rPr>
          <w:b/>
          <w:bCs/>
          <w:i/>
          <w:iCs/>
        </w:rPr>
        <w:t> :</w:t>
      </w:r>
    </w:p>
    <w:p w14:paraId="4E6A1253" w14:textId="05655B78" w:rsidR="00820975" w:rsidRPr="00820975" w:rsidRDefault="00820975" w:rsidP="00456165">
      <w:pPr>
        <w:rPr>
          <w:b/>
          <w:bCs/>
        </w:rPr>
      </w:pPr>
      <w:r>
        <w:rPr>
          <w:b/>
          <w:bCs/>
          <w:i/>
          <w:iCs/>
        </w:rPr>
        <w:t>Masses molaires  en gmol</w:t>
      </w:r>
      <w:r>
        <w:rPr>
          <w:b/>
          <w:bCs/>
          <w:i/>
          <w:iCs/>
          <w:vertAlign w:val="superscript"/>
        </w:rPr>
        <w:t>-1</w:t>
      </w:r>
      <w:r>
        <w:rPr>
          <w:b/>
          <w:bCs/>
          <w:i/>
          <w:iCs/>
        </w:rPr>
        <w:t xml:space="preserve">       </w:t>
      </w:r>
      <w:r>
        <w:rPr>
          <w:b/>
          <w:bCs/>
        </w:rPr>
        <w:t xml:space="preserve">       H : 1          O : 16      S  = 32        Ca : 40 </w:t>
      </w:r>
    </w:p>
    <w:p w14:paraId="69F2646A" w14:textId="78837DCB" w:rsidR="00FA2FBA" w:rsidRDefault="00FA2FBA" w:rsidP="00456165">
      <w:r>
        <w:t>L’acide sulfurique est un diacide  , la première acidité est forte  , la deuxième est caractérisée par pKa = 2</w:t>
      </w:r>
    </w:p>
    <w:p w14:paraId="0DD67F19" w14:textId="39B346F4" w:rsidR="00F34AE3" w:rsidRDefault="00FA2FBA" w:rsidP="00456165">
      <w:r>
        <w:t>L’acide phos</w:t>
      </w:r>
      <w:r w:rsidR="00C53554">
        <w:t xml:space="preserve">phorique est un triacide </w:t>
      </w:r>
      <w:r w:rsidR="004E70B8">
        <w:t xml:space="preserve"> en solution aqueuse  . </w:t>
      </w:r>
    </w:p>
    <w:p w14:paraId="599C32FC" w14:textId="585CD0AD" w:rsidR="00F34AE3" w:rsidRDefault="00F34AE3" w:rsidP="00456165"/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224"/>
        <w:gridCol w:w="2580"/>
      </w:tblGrid>
      <w:tr w:rsidR="00F34AE3" w14:paraId="10FE9A5F" w14:textId="77777777" w:rsidTr="00C74DD7">
        <w:trPr>
          <w:jc w:val="center"/>
        </w:trPr>
        <w:tc>
          <w:tcPr>
            <w:tcW w:w="2830" w:type="dxa"/>
            <w:shd w:val="clear" w:color="auto" w:fill="auto"/>
          </w:tcPr>
          <w:p w14:paraId="4E3A412D" w14:textId="5EDE6FDA" w:rsidR="00F34AE3" w:rsidRDefault="00F34AE3" w:rsidP="003048BF">
            <w:r>
              <w:t xml:space="preserve">Phosphate tricalcique  </w:t>
            </w:r>
          </w:p>
        </w:tc>
        <w:tc>
          <w:tcPr>
            <w:tcW w:w="4224" w:type="dxa"/>
            <w:shd w:val="clear" w:color="auto" w:fill="auto"/>
          </w:tcPr>
          <w:p w14:paraId="284B1BDE" w14:textId="77777777" w:rsidR="00F34AE3" w:rsidRDefault="00F34AE3" w:rsidP="003048BF">
            <w:r>
              <w:rPr>
                <w:rStyle w:val="lev"/>
              </w:rPr>
              <w:t>Formule:</w:t>
            </w:r>
            <w:r>
              <w:t xml:space="preserve"> Ca₃(PO₄)₂</w:t>
            </w:r>
            <w:r>
              <w:br/>
            </w:r>
            <w:r>
              <w:rPr>
                <w:rStyle w:val="lev"/>
              </w:rPr>
              <w:t>Poids moléculaire:</w:t>
            </w:r>
            <w:r>
              <w:t xml:space="preserve"> 310,18 g/mol</w:t>
            </w:r>
          </w:p>
          <w:p w14:paraId="2BE3284D" w14:textId="3EFC989A" w:rsidR="00F34AE3" w:rsidRPr="004B3F93" w:rsidRDefault="00F34AE3" w:rsidP="003048BF">
            <w:pPr>
              <w:rPr>
                <w:b/>
                <w:bCs/>
                <w:sz w:val="22"/>
              </w:rPr>
            </w:pPr>
            <w:r>
              <w:rPr>
                <w:rStyle w:val="lev"/>
              </w:rPr>
              <w:t>Point de fusion:</w:t>
            </w:r>
            <w:r>
              <w:t xml:space="preserve"> 1670 °C</w:t>
            </w:r>
            <w:r>
              <w:br/>
            </w:r>
            <w:r>
              <w:rPr>
                <w:rStyle w:val="lev"/>
              </w:rPr>
              <w:t>Densité:</w:t>
            </w:r>
            <w:r>
              <w:t xml:space="preserve"> 3,14 g/cm³ (20 °C)</w:t>
            </w:r>
          </w:p>
        </w:tc>
        <w:tc>
          <w:tcPr>
            <w:tcW w:w="2580" w:type="dxa"/>
            <w:shd w:val="clear" w:color="auto" w:fill="auto"/>
          </w:tcPr>
          <w:p w14:paraId="448DDA5A" w14:textId="2687190C" w:rsidR="00F34AE3" w:rsidRPr="00583762" w:rsidRDefault="00F34AE3" w:rsidP="003048BF">
            <w:pPr>
              <w:rPr>
                <w:rFonts w:eastAsia="Times New Roman"/>
                <w:noProof/>
                <w:szCs w:val="24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27D89716" wp14:editId="3B28E389">
                  <wp:extent cx="476250" cy="476250"/>
                  <wp:effectExtent l="0" t="0" r="0" b="0"/>
                  <wp:docPr id="4" name="Image 4" descr="Corrosive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Corrosive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AE3" w14:paraId="62B8157D" w14:textId="77777777" w:rsidTr="00C74DD7">
        <w:trPr>
          <w:jc w:val="center"/>
        </w:trPr>
        <w:tc>
          <w:tcPr>
            <w:tcW w:w="2830" w:type="dxa"/>
            <w:shd w:val="clear" w:color="auto" w:fill="auto"/>
          </w:tcPr>
          <w:p w14:paraId="6A752B91" w14:textId="34B88AA3" w:rsidR="00F34AE3" w:rsidRPr="0080275F" w:rsidRDefault="00F34AE3" w:rsidP="003048BF">
            <w:r>
              <w:t>Solution aqueuse d’acide sulfurique</w:t>
            </w:r>
            <w:r w:rsidR="00A0499A">
              <w:t xml:space="preserve"> (H</w:t>
            </w:r>
            <w:r w:rsidR="00A0499A">
              <w:rPr>
                <w:vertAlign w:val="subscript"/>
              </w:rPr>
              <w:t>2</w:t>
            </w:r>
            <w:r w:rsidR="00A0499A">
              <w:t>SO</w:t>
            </w:r>
            <w:r w:rsidR="00A0499A">
              <w:rPr>
                <w:vertAlign w:val="subscript"/>
              </w:rPr>
              <w:t>4</w:t>
            </w:r>
            <w:r w:rsidR="0080275F">
              <w:t>)</w:t>
            </w:r>
          </w:p>
        </w:tc>
        <w:tc>
          <w:tcPr>
            <w:tcW w:w="4224" w:type="dxa"/>
            <w:shd w:val="clear" w:color="auto" w:fill="auto"/>
          </w:tcPr>
          <w:p w14:paraId="49066B58" w14:textId="24A6A50E" w:rsidR="00F34AE3" w:rsidRPr="004B3F93" w:rsidRDefault="00544258" w:rsidP="003048BF">
            <w:pPr>
              <w:rPr>
                <w:sz w:val="22"/>
                <w:vertAlign w:val="superscript"/>
              </w:rPr>
            </w:pPr>
            <w:r>
              <w:rPr>
                <w:rStyle w:val="lev"/>
              </w:rPr>
              <w:t>Formule:</w:t>
            </w:r>
            <w:r>
              <w:t xml:space="preserve"> H₂SO₄</w:t>
            </w:r>
            <w:r>
              <w:br/>
            </w:r>
            <w:r>
              <w:rPr>
                <w:rStyle w:val="lev"/>
              </w:rPr>
              <w:t>Poids moléculaire:</w:t>
            </w:r>
            <w:r>
              <w:t xml:space="preserve"> 98,08 g/mol</w:t>
            </w:r>
          </w:p>
        </w:tc>
        <w:tc>
          <w:tcPr>
            <w:tcW w:w="2580" w:type="dxa"/>
            <w:shd w:val="clear" w:color="auto" w:fill="auto"/>
          </w:tcPr>
          <w:p w14:paraId="1650DE78" w14:textId="7761AF31" w:rsidR="00F34AE3" w:rsidRDefault="00A0499A" w:rsidP="003048BF">
            <w:r>
              <w:rPr>
                <w:noProof/>
              </w:rPr>
              <w:drawing>
                <wp:inline distT="0" distB="0" distL="0" distR="0" wp14:anchorId="798AE17C" wp14:editId="5FF94775">
                  <wp:extent cx="476250" cy="476250"/>
                  <wp:effectExtent l="0" t="0" r="0" b="0"/>
                  <wp:docPr id="5" name="Image 5" descr="Corrosive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Corrosive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7370B8" w14:textId="77777777" w:rsidR="00F34AE3" w:rsidRDefault="00F34AE3" w:rsidP="003048BF"/>
        </w:tc>
      </w:tr>
      <w:tr w:rsidR="00F34AE3" w14:paraId="3E77F000" w14:textId="77777777" w:rsidTr="00C74DD7">
        <w:trPr>
          <w:jc w:val="center"/>
        </w:trPr>
        <w:tc>
          <w:tcPr>
            <w:tcW w:w="2830" w:type="dxa"/>
            <w:shd w:val="clear" w:color="auto" w:fill="auto"/>
          </w:tcPr>
          <w:p w14:paraId="4B1D43A9" w14:textId="24919712" w:rsidR="00F34AE3" w:rsidRDefault="00F34AE3" w:rsidP="003048BF">
            <w:r>
              <w:t xml:space="preserve">Solution aqueuse  de soude </w:t>
            </w:r>
          </w:p>
          <w:p w14:paraId="3CB98FC6" w14:textId="77777777" w:rsidR="00F34AE3" w:rsidRDefault="00F34AE3" w:rsidP="003048BF">
            <w:r>
              <w:t>(Hydroxyde de sodium )</w:t>
            </w:r>
          </w:p>
        </w:tc>
        <w:tc>
          <w:tcPr>
            <w:tcW w:w="4224" w:type="dxa"/>
            <w:shd w:val="clear" w:color="auto" w:fill="auto"/>
          </w:tcPr>
          <w:p w14:paraId="35CD6F8E" w14:textId="0FF0DB42" w:rsidR="00F34AE3" w:rsidRPr="004B3F93" w:rsidRDefault="0080275F" w:rsidP="003048BF">
            <w:pPr>
              <w:rPr>
                <w:b/>
                <w:bCs/>
                <w:sz w:val="22"/>
              </w:rPr>
            </w:pPr>
            <w:r>
              <w:rPr>
                <w:rStyle w:val="lev"/>
              </w:rPr>
              <w:t>Formule:</w:t>
            </w:r>
            <w:r>
              <w:t xml:space="preserve"> NaOH</w:t>
            </w:r>
            <w:r>
              <w:br/>
            </w:r>
            <w:r>
              <w:rPr>
                <w:rStyle w:val="lev"/>
              </w:rPr>
              <w:t>Poids moléculaire:</w:t>
            </w:r>
            <w:r>
              <w:t xml:space="preserve"> 40 g/mol</w:t>
            </w:r>
            <w:r>
              <w:br/>
            </w:r>
            <w:r>
              <w:rPr>
                <w:rStyle w:val="lev"/>
              </w:rPr>
              <w:t>Point d'ébullition:</w:t>
            </w:r>
            <w:r>
              <w:t xml:space="preserve"> </w:t>
            </w:r>
            <w:r>
              <w:rPr>
                <w:rFonts w:ascii="Cambria Math" w:hAnsi="Cambria Math" w:cs="Cambria Math"/>
              </w:rPr>
              <w:t>∼</w:t>
            </w:r>
            <w:r>
              <w:t xml:space="preserve">105 °C (1013 hPa) </w:t>
            </w:r>
            <w:r>
              <w:br/>
            </w:r>
            <w:r>
              <w:rPr>
                <w:rStyle w:val="lev"/>
              </w:rPr>
              <w:t>Densité:</w:t>
            </w:r>
            <w:r>
              <w:t xml:space="preserve"> 1,327 g/cm³ (20 °C) </w:t>
            </w:r>
          </w:p>
        </w:tc>
        <w:tc>
          <w:tcPr>
            <w:tcW w:w="2580" w:type="dxa"/>
            <w:shd w:val="clear" w:color="auto" w:fill="auto"/>
          </w:tcPr>
          <w:p w14:paraId="253D5F26" w14:textId="53B4BB40" w:rsidR="00F34AE3" w:rsidRPr="00583762" w:rsidRDefault="0080275F" w:rsidP="003048BF">
            <w:pPr>
              <w:rPr>
                <w:rFonts w:eastAsia="Times New Roman"/>
                <w:noProof/>
                <w:szCs w:val="24"/>
                <w:lang w:eastAsia="fr-FR"/>
              </w:rPr>
            </w:pPr>
            <w:r w:rsidRPr="0080275F">
              <w:rPr>
                <w:rFonts w:eastAsia="Times New Roman"/>
                <w:noProof/>
                <w:szCs w:val="24"/>
                <w:lang w:eastAsia="fr-FR"/>
              </w:rPr>
              <w:drawing>
                <wp:inline distT="0" distB="0" distL="0" distR="0" wp14:anchorId="57807478" wp14:editId="760100D9">
                  <wp:extent cx="476250" cy="476250"/>
                  <wp:effectExtent l="0" t="0" r="0" b="0"/>
                  <wp:docPr id="6" name="Image 6" descr="Corrosive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rrosive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E6299" w14:textId="77777777" w:rsidR="00F34AE3" w:rsidRPr="00456165" w:rsidRDefault="00F34AE3" w:rsidP="007D3674"/>
    <w:sectPr w:rsidR="00F34AE3" w:rsidRPr="00456165" w:rsidSect="00503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21AEF"/>
    <w:multiLevelType w:val="hybridMultilevel"/>
    <w:tmpl w:val="27FC6BCA"/>
    <w:lvl w:ilvl="0" w:tplc="9DBA61E0">
      <w:numFmt w:val="bullet"/>
      <w:lvlText w:val="-"/>
      <w:lvlJc w:val="left"/>
      <w:pPr>
        <w:ind w:left="420" w:hanging="360"/>
      </w:pPr>
      <w:rPr>
        <w:rFonts w:ascii="Lucida Sans Unicode" w:eastAsia="Calibri" w:hAnsi="Lucida Sans Unicode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07785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2F"/>
    <w:rsid w:val="00035DFC"/>
    <w:rsid w:val="000C35C4"/>
    <w:rsid w:val="001004A3"/>
    <w:rsid w:val="001440D1"/>
    <w:rsid w:val="001F22F1"/>
    <w:rsid w:val="002909A6"/>
    <w:rsid w:val="002E4FD2"/>
    <w:rsid w:val="00347AAB"/>
    <w:rsid w:val="003A7131"/>
    <w:rsid w:val="00430F81"/>
    <w:rsid w:val="00456165"/>
    <w:rsid w:val="004E70B8"/>
    <w:rsid w:val="004F077A"/>
    <w:rsid w:val="00503F2F"/>
    <w:rsid w:val="00544258"/>
    <w:rsid w:val="00594089"/>
    <w:rsid w:val="005D39E7"/>
    <w:rsid w:val="006745A3"/>
    <w:rsid w:val="006822B5"/>
    <w:rsid w:val="006D5145"/>
    <w:rsid w:val="00774F0B"/>
    <w:rsid w:val="007868E9"/>
    <w:rsid w:val="007D3674"/>
    <w:rsid w:val="0080275F"/>
    <w:rsid w:val="00817C30"/>
    <w:rsid w:val="00820975"/>
    <w:rsid w:val="008A69AB"/>
    <w:rsid w:val="008B643A"/>
    <w:rsid w:val="00A0499A"/>
    <w:rsid w:val="00A0526F"/>
    <w:rsid w:val="00B10CC4"/>
    <w:rsid w:val="00B34D99"/>
    <w:rsid w:val="00B745A1"/>
    <w:rsid w:val="00B74FD2"/>
    <w:rsid w:val="00BC5B1C"/>
    <w:rsid w:val="00C16101"/>
    <w:rsid w:val="00C53554"/>
    <w:rsid w:val="00C56B78"/>
    <w:rsid w:val="00C74DD7"/>
    <w:rsid w:val="00C86CEA"/>
    <w:rsid w:val="00C95C88"/>
    <w:rsid w:val="00D77CF8"/>
    <w:rsid w:val="00D9192D"/>
    <w:rsid w:val="00F34AE3"/>
    <w:rsid w:val="00FA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E93A"/>
  <w15:chartTrackingRefBased/>
  <w15:docId w15:val="{71B2FB13-753A-4743-B360-1A3A843F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F2F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A7131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A7131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A7131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A713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A7131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A7131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A7131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A7131"/>
    <w:pPr>
      <w:keepNext/>
      <w:keepLines/>
      <w:spacing w:before="200"/>
      <w:outlineLvl w:val="7"/>
    </w:pPr>
    <w:rPr>
      <w:rFonts w:ascii="Cambria" w:hAnsi="Cambria"/>
      <w:color w:val="2DA2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A7131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3A7131"/>
    <w:rPr>
      <w:rFonts w:ascii="Cambria" w:hAnsi="Cambria"/>
      <w:b/>
      <w:bCs/>
      <w:color w:val="21798E"/>
      <w:sz w:val="28"/>
      <w:szCs w:val="28"/>
    </w:rPr>
  </w:style>
  <w:style w:type="character" w:customStyle="1" w:styleId="Titre2Car">
    <w:name w:val="Titre 2 Car"/>
    <w:link w:val="Titre2"/>
    <w:uiPriority w:val="9"/>
    <w:semiHidden/>
    <w:rsid w:val="003A7131"/>
    <w:rPr>
      <w:rFonts w:ascii="Cambria" w:hAnsi="Cambria"/>
      <w:b/>
      <w:bCs/>
      <w:color w:val="2DA2BF"/>
      <w:sz w:val="26"/>
      <w:szCs w:val="26"/>
    </w:rPr>
  </w:style>
  <w:style w:type="character" w:customStyle="1" w:styleId="Titre3Car">
    <w:name w:val="Titre 3 Car"/>
    <w:link w:val="Titre3"/>
    <w:uiPriority w:val="9"/>
    <w:semiHidden/>
    <w:rsid w:val="003A7131"/>
    <w:rPr>
      <w:rFonts w:ascii="Cambria" w:hAnsi="Cambria"/>
      <w:b/>
      <w:bCs/>
      <w:color w:val="2DA2BF"/>
    </w:rPr>
  </w:style>
  <w:style w:type="character" w:customStyle="1" w:styleId="Titre4Car">
    <w:name w:val="Titre 4 Car"/>
    <w:link w:val="Titre4"/>
    <w:uiPriority w:val="9"/>
    <w:semiHidden/>
    <w:rsid w:val="003A7131"/>
    <w:rPr>
      <w:rFonts w:ascii="Cambria" w:hAnsi="Cambria"/>
      <w:b/>
      <w:bCs/>
      <w:i/>
      <w:iCs/>
      <w:color w:val="2DA2BF"/>
    </w:rPr>
  </w:style>
  <w:style w:type="character" w:customStyle="1" w:styleId="Titre5Car">
    <w:name w:val="Titre 5 Car"/>
    <w:link w:val="Titre5"/>
    <w:uiPriority w:val="9"/>
    <w:semiHidden/>
    <w:rsid w:val="003A7131"/>
    <w:rPr>
      <w:rFonts w:ascii="Cambria" w:hAnsi="Cambria"/>
      <w:color w:val="16505E"/>
    </w:rPr>
  </w:style>
  <w:style w:type="character" w:customStyle="1" w:styleId="Titre6Car">
    <w:name w:val="Titre 6 Car"/>
    <w:link w:val="Titre6"/>
    <w:uiPriority w:val="9"/>
    <w:semiHidden/>
    <w:rsid w:val="003A7131"/>
    <w:rPr>
      <w:rFonts w:ascii="Cambria" w:hAnsi="Cambria"/>
      <w:i/>
      <w:iCs/>
      <w:color w:val="16505E"/>
    </w:rPr>
  </w:style>
  <w:style w:type="character" w:customStyle="1" w:styleId="Titre7Car">
    <w:name w:val="Titre 7 Car"/>
    <w:link w:val="Titre7"/>
    <w:uiPriority w:val="9"/>
    <w:semiHidden/>
    <w:rsid w:val="003A7131"/>
    <w:rPr>
      <w:rFonts w:ascii="Cambria" w:hAnsi="Cambria"/>
      <w:i/>
      <w:iCs/>
      <w:color w:val="404040"/>
    </w:rPr>
  </w:style>
  <w:style w:type="character" w:customStyle="1" w:styleId="Titre8Car">
    <w:name w:val="Titre 8 Car"/>
    <w:link w:val="Titre8"/>
    <w:uiPriority w:val="9"/>
    <w:semiHidden/>
    <w:rsid w:val="003A7131"/>
    <w:rPr>
      <w:rFonts w:ascii="Cambria" w:hAnsi="Cambria"/>
      <w:color w:val="2DA2BF"/>
      <w:sz w:val="20"/>
      <w:szCs w:val="20"/>
    </w:rPr>
  </w:style>
  <w:style w:type="character" w:customStyle="1" w:styleId="Titre9Car">
    <w:name w:val="Titre 9 Car"/>
    <w:link w:val="Titre9"/>
    <w:uiPriority w:val="9"/>
    <w:semiHidden/>
    <w:rsid w:val="003A7131"/>
    <w:rPr>
      <w:rFonts w:ascii="Cambria" w:hAnsi="Cambria"/>
      <w:i/>
      <w:iCs/>
      <w:color w:val="40404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3A7131"/>
    <w:rPr>
      <w:b/>
      <w:bCs/>
      <w:color w:val="2DA2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3A7131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10"/>
    <w:rsid w:val="003A7131"/>
    <w:rPr>
      <w:rFonts w:ascii="Cambria" w:hAnsi="Cambria"/>
      <w:color w:val="343434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A7131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Cs w:val="24"/>
    </w:rPr>
  </w:style>
  <w:style w:type="character" w:customStyle="1" w:styleId="Sous-titreCar">
    <w:name w:val="Sous-titre Car"/>
    <w:link w:val="Sous-titre"/>
    <w:uiPriority w:val="11"/>
    <w:rsid w:val="003A7131"/>
    <w:rPr>
      <w:rFonts w:ascii="Cambria" w:eastAsia="Times New Roman" w:hAnsi="Cambria"/>
      <w:i/>
      <w:iCs/>
      <w:color w:val="2DA2BF"/>
      <w:spacing w:val="15"/>
      <w:sz w:val="24"/>
      <w:szCs w:val="24"/>
    </w:rPr>
  </w:style>
  <w:style w:type="character" w:styleId="lev">
    <w:name w:val="Strong"/>
    <w:uiPriority w:val="22"/>
    <w:qFormat/>
    <w:rsid w:val="003A7131"/>
    <w:rPr>
      <w:b/>
      <w:bCs/>
    </w:rPr>
  </w:style>
  <w:style w:type="character" w:styleId="Accentuation">
    <w:name w:val="Emphasis"/>
    <w:uiPriority w:val="20"/>
    <w:qFormat/>
    <w:rsid w:val="003A7131"/>
    <w:rPr>
      <w:i/>
      <w:iCs/>
    </w:rPr>
  </w:style>
  <w:style w:type="paragraph" w:styleId="Sansinterligne">
    <w:name w:val="No Spacing"/>
    <w:link w:val="SansinterligneCar"/>
    <w:uiPriority w:val="1"/>
    <w:qFormat/>
    <w:rsid w:val="003A7131"/>
    <w:pPr>
      <w:spacing w:after="0" w:line="240" w:lineRule="auto"/>
    </w:pPr>
  </w:style>
  <w:style w:type="character" w:customStyle="1" w:styleId="SansinterligneCar">
    <w:name w:val="Sans interligne Car"/>
    <w:link w:val="Sansinterligne"/>
    <w:uiPriority w:val="1"/>
    <w:rsid w:val="003A7131"/>
  </w:style>
  <w:style w:type="paragraph" w:styleId="Paragraphedeliste">
    <w:name w:val="List Paragraph"/>
    <w:basedOn w:val="Normal"/>
    <w:uiPriority w:val="34"/>
    <w:qFormat/>
    <w:rsid w:val="003A713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3A713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A7131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A71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CitationintenseCar">
    <w:name w:val="Citation intense Car"/>
    <w:link w:val="Citationintense"/>
    <w:uiPriority w:val="30"/>
    <w:rsid w:val="003A7131"/>
    <w:rPr>
      <w:b/>
      <w:bCs/>
      <w:i/>
      <w:iCs/>
      <w:color w:val="2DA2BF"/>
    </w:rPr>
  </w:style>
  <w:style w:type="character" w:styleId="Accentuationlgre">
    <w:name w:val="Subtle Emphasis"/>
    <w:uiPriority w:val="19"/>
    <w:qFormat/>
    <w:rsid w:val="003A7131"/>
    <w:rPr>
      <w:i/>
      <w:iCs/>
      <w:color w:val="808080"/>
    </w:rPr>
  </w:style>
  <w:style w:type="character" w:styleId="Accentuationintense">
    <w:name w:val="Intense Emphasis"/>
    <w:uiPriority w:val="21"/>
    <w:qFormat/>
    <w:rsid w:val="003A7131"/>
    <w:rPr>
      <w:b/>
      <w:bCs/>
      <w:i/>
      <w:iCs/>
      <w:color w:val="2DA2BF"/>
    </w:rPr>
  </w:style>
  <w:style w:type="character" w:styleId="Rfrencelgre">
    <w:name w:val="Subtle Reference"/>
    <w:uiPriority w:val="31"/>
    <w:qFormat/>
    <w:rsid w:val="003A7131"/>
    <w:rPr>
      <w:smallCaps/>
      <w:color w:val="DA1F28"/>
      <w:u w:val="single"/>
    </w:rPr>
  </w:style>
  <w:style w:type="character" w:styleId="Rfrenceintense">
    <w:name w:val="Intense Reference"/>
    <w:uiPriority w:val="32"/>
    <w:qFormat/>
    <w:rsid w:val="003A7131"/>
    <w:rPr>
      <w:b/>
      <w:bCs/>
      <w:smallCaps/>
      <w:color w:val="DA1F28"/>
      <w:spacing w:val="5"/>
      <w:u w:val="single"/>
    </w:rPr>
  </w:style>
  <w:style w:type="character" w:styleId="Titredulivre">
    <w:name w:val="Book Title"/>
    <w:uiPriority w:val="33"/>
    <w:qFormat/>
    <w:rsid w:val="003A7131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A7131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8B643A"/>
    <w:pPr>
      <w:spacing w:before="100" w:beforeAutospacing="1" w:after="100" w:afterAutospacing="1"/>
    </w:pPr>
    <w:rPr>
      <w:rFonts w:eastAsia="Times New Roman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8B6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yara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742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Ninise</dc:creator>
  <cp:keywords/>
  <dc:description/>
  <cp:lastModifiedBy>Ninise</cp:lastModifiedBy>
  <cp:revision>7</cp:revision>
  <cp:lastPrinted>2025-09-16T16:27:00Z</cp:lastPrinted>
  <dcterms:created xsi:type="dcterms:W3CDTF">2025-08-19T08:25:00Z</dcterms:created>
  <dcterms:modified xsi:type="dcterms:W3CDTF">2025-09-16T16:27:00Z</dcterms:modified>
</cp:coreProperties>
</file>