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F04D" w14:textId="13B8B5BF" w:rsidR="006C69B3" w:rsidRPr="00ED097C" w:rsidRDefault="00B535D4" w:rsidP="00ED097C">
      <w:pPr>
        <w:jc w:val="center"/>
        <w:rPr>
          <w:b/>
          <w:bCs/>
        </w:rPr>
      </w:pPr>
      <w:r w:rsidRPr="00ED097C">
        <w:rPr>
          <w:b/>
          <w:bCs/>
        </w:rPr>
        <w:t xml:space="preserve">TP  6 – Détermination de la </w:t>
      </w:r>
      <w:proofErr w:type="spellStart"/>
      <w:r w:rsidRPr="00ED097C">
        <w:rPr>
          <w:b/>
          <w:bCs/>
        </w:rPr>
        <w:t>stoechiométrie</w:t>
      </w:r>
      <w:proofErr w:type="spellEnd"/>
      <w:r w:rsidRPr="00ED097C">
        <w:rPr>
          <w:b/>
          <w:bCs/>
        </w:rPr>
        <w:t xml:space="preserve"> du complexe   </w:t>
      </w:r>
      <w:proofErr w:type="gramStart"/>
      <w:r w:rsidRPr="00ED097C">
        <w:rPr>
          <w:b/>
          <w:bCs/>
        </w:rPr>
        <w:t>Ni</w:t>
      </w:r>
      <w:r w:rsidR="00ED097C" w:rsidRPr="00ED097C">
        <w:rPr>
          <w:b/>
          <w:bCs/>
        </w:rPr>
        <w:t>(</w:t>
      </w:r>
      <w:proofErr w:type="gramEnd"/>
      <w:r w:rsidR="00ED097C" w:rsidRPr="00ED097C">
        <w:rPr>
          <w:b/>
          <w:bCs/>
        </w:rPr>
        <w:t>II)</w:t>
      </w:r>
      <w:r w:rsidRPr="00ED097C">
        <w:rPr>
          <w:b/>
          <w:bCs/>
        </w:rPr>
        <w:t>-en</w:t>
      </w:r>
      <w:r w:rsidR="00ED097C" w:rsidRPr="00ED097C">
        <w:rPr>
          <w:b/>
          <w:bCs/>
        </w:rPr>
        <w:t xml:space="preserve"> , Ni(en)</w:t>
      </w:r>
      <w:r w:rsidR="00ED097C" w:rsidRPr="00ED097C">
        <w:rPr>
          <w:b/>
          <w:bCs/>
          <w:vertAlign w:val="subscript"/>
        </w:rPr>
        <w:t>q</w:t>
      </w:r>
      <w:r w:rsidR="00ED097C" w:rsidRPr="00ED097C">
        <w:rPr>
          <w:b/>
          <w:bCs/>
          <w:vertAlign w:val="superscript"/>
        </w:rPr>
        <w:t>2+</w:t>
      </w:r>
    </w:p>
    <w:p w14:paraId="2F9704BA" w14:textId="2DDDD9F8" w:rsidR="00B535D4" w:rsidRPr="00ED097C" w:rsidRDefault="00B535D4" w:rsidP="00ED097C">
      <w:pPr>
        <w:jc w:val="center"/>
        <w:rPr>
          <w:b/>
          <w:bCs/>
        </w:rPr>
      </w:pPr>
      <w:r w:rsidRPr="00ED097C">
        <w:rPr>
          <w:b/>
          <w:bCs/>
        </w:rPr>
        <w:t>Résultats expérimentaux</w:t>
      </w:r>
    </w:p>
    <w:p w14:paraId="4F9D0F66" w14:textId="77777777" w:rsidR="00B535D4" w:rsidRDefault="00B535D4" w:rsidP="00B535D4">
      <w:pPr>
        <w:rPr>
          <w:b/>
          <w:i/>
          <w:u w:val="single"/>
        </w:rPr>
      </w:pPr>
    </w:p>
    <w:p w14:paraId="5764AA9C" w14:textId="6DF95E73" w:rsidR="00B535D4" w:rsidRDefault="00B535D4" w:rsidP="00B535D4">
      <w:r>
        <w:t xml:space="preserve">Dans des béchers on réalise le mélange d’un volume </w:t>
      </w:r>
      <w:proofErr w:type="spellStart"/>
      <w:proofErr w:type="gramStart"/>
      <w:r>
        <w:t>V</w:t>
      </w:r>
      <w:r>
        <w:rPr>
          <w:vertAlign w:val="subscript"/>
        </w:rPr>
        <w:t>Ni</w:t>
      </w:r>
      <w:proofErr w:type="spellEnd"/>
      <w:r>
        <w:rPr>
          <w:vertAlign w:val="subscript"/>
        </w:rPr>
        <w:t xml:space="preserve"> </w:t>
      </w:r>
      <w:r>
        <w:t xml:space="preserve"> de</w:t>
      </w:r>
      <w:proofErr w:type="gramEnd"/>
      <w:r>
        <w:t xml:space="preserve"> la solution de nickel (II) et d’un volume de V</w:t>
      </w:r>
      <w:r w:rsidRPr="009A366E">
        <w:rPr>
          <w:vertAlign w:val="subscript"/>
        </w:rPr>
        <w:t>L</w:t>
      </w:r>
      <w:r>
        <w:t xml:space="preserve"> de la solution de ligand en respectant </w:t>
      </w:r>
      <w:r w:rsidRPr="00B535D4">
        <w:rPr>
          <w:b/>
        </w:rPr>
        <w:t>V</w:t>
      </w:r>
      <w:r w:rsidRPr="00B535D4">
        <w:rPr>
          <w:b/>
          <w:vertAlign w:val="subscript"/>
        </w:rPr>
        <w:t>L</w:t>
      </w:r>
      <w:r w:rsidRPr="00B535D4">
        <w:rPr>
          <w:b/>
        </w:rPr>
        <w:t xml:space="preserve"> + </w:t>
      </w:r>
      <w:proofErr w:type="spellStart"/>
      <w:r w:rsidRPr="00B535D4">
        <w:rPr>
          <w:b/>
        </w:rPr>
        <w:t>V</w:t>
      </w:r>
      <w:r w:rsidRPr="00B535D4">
        <w:rPr>
          <w:b/>
          <w:vertAlign w:val="subscript"/>
        </w:rPr>
        <w:t>Ni</w:t>
      </w:r>
      <w:proofErr w:type="spellEnd"/>
      <w:r w:rsidRPr="00B535D4">
        <w:rPr>
          <w:b/>
        </w:rPr>
        <w:t xml:space="preserve"> </w:t>
      </w:r>
      <w:r w:rsidR="00ED097C">
        <w:rPr>
          <w:b/>
        </w:rPr>
        <w:t>= V</w:t>
      </w:r>
      <w:r w:rsidR="00ED097C">
        <w:rPr>
          <w:b/>
          <w:vertAlign w:val="subscript"/>
        </w:rPr>
        <w:t>0</w:t>
      </w:r>
      <w:r w:rsidR="00ED097C">
        <w:rPr>
          <w:b/>
        </w:rPr>
        <w:t xml:space="preserve"> = </w:t>
      </w:r>
      <w:r w:rsidRPr="00B535D4">
        <w:rPr>
          <w:b/>
        </w:rPr>
        <w:t xml:space="preserve"> 10 </w:t>
      </w:r>
      <w:proofErr w:type="spellStart"/>
      <w:r w:rsidRPr="00B535D4">
        <w:rPr>
          <w:b/>
        </w:rPr>
        <w:t>mL</w:t>
      </w:r>
      <w:proofErr w:type="spellEnd"/>
      <w:r w:rsidRPr="00B535D4">
        <w:rPr>
          <w:b/>
        </w:rPr>
        <w:t xml:space="preserve"> .</w:t>
      </w:r>
      <w:r>
        <w:t xml:space="preserve"> </w:t>
      </w:r>
      <w:r>
        <w:br/>
        <w:t xml:space="preserve">Les volumes sont prélevés à l’aide de pipettes </w:t>
      </w:r>
      <w:proofErr w:type="gramStart"/>
      <w:r>
        <w:t>graduées .</w:t>
      </w:r>
      <w:proofErr w:type="gramEnd"/>
      <w:r>
        <w:t xml:space="preserve"> </w:t>
      </w:r>
    </w:p>
    <w:p w14:paraId="4BF21011" w14:textId="77777777" w:rsidR="00B535D4" w:rsidRDefault="00B535D4" w:rsidP="00B535D4">
      <w:r>
        <w:t xml:space="preserve">Apres avoir fixé la longueur d’onde à 550 nm et fait le </w:t>
      </w:r>
      <w:proofErr w:type="gramStart"/>
      <w:r>
        <w:t>zéro ,</w:t>
      </w:r>
      <w:proofErr w:type="gramEnd"/>
      <w:r>
        <w:t xml:space="preserve"> on mesure l’absorbance des différentes solutions obtenues . </w:t>
      </w:r>
      <w:proofErr w:type="gramStart"/>
      <w:r>
        <w:t>les</w:t>
      </w:r>
      <w:proofErr w:type="gramEnd"/>
      <w:r>
        <w:t xml:space="preserve"> résultats sont indiqués dans le tableau ci-dessous : </w:t>
      </w:r>
    </w:p>
    <w:p w14:paraId="205F3D83" w14:textId="77777777" w:rsidR="00B535D4" w:rsidRDefault="00B535D4" w:rsidP="00B535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764"/>
      </w:tblGrid>
      <w:tr w:rsidR="00B535D4" w14:paraId="7FF44714" w14:textId="77777777" w:rsidTr="004C67E2">
        <w:tc>
          <w:tcPr>
            <w:tcW w:w="10344" w:type="dxa"/>
            <w:gridSpan w:val="13"/>
            <w:shd w:val="clear" w:color="auto" w:fill="auto"/>
          </w:tcPr>
          <w:p w14:paraId="00C77C32" w14:textId="77777777" w:rsidR="00B535D4" w:rsidRDefault="00B535D4" w:rsidP="004C67E2">
            <w:r>
              <w:rPr>
                <w:noProof/>
              </w:rPr>
              <w:drawing>
                <wp:inline distT="0" distB="0" distL="0" distR="0" wp14:anchorId="2BDF01D9" wp14:editId="2556B441">
                  <wp:extent cx="6477000" cy="1915160"/>
                  <wp:effectExtent l="0" t="0" r="0" b="889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1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5D4" w14:paraId="5B516CB5" w14:textId="77777777" w:rsidTr="004C67E2">
        <w:tc>
          <w:tcPr>
            <w:tcW w:w="795" w:type="dxa"/>
            <w:shd w:val="clear" w:color="auto" w:fill="auto"/>
          </w:tcPr>
          <w:p w14:paraId="5957BDF4" w14:textId="77777777" w:rsidR="00B535D4" w:rsidRPr="009A366E" w:rsidRDefault="00B535D4" w:rsidP="004C67E2">
            <w:r>
              <w:t>V</w:t>
            </w:r>
            <w:r w:rsidRPr="00B33F85">
              <w:rPr>
                <w:vertAlign w:val="subscript"/>
              </w:rPr>
              <w:t>L</w:t>
            </w:r>
          </w:p>
        </w:tc>
        <w:tc>
          <w:tcPr>
            <w:tcW w:w="795" w:type="dxa"/>
            <w:shd w:val="clear" w:color="auto" w:fill="auto"/>
          </w:tcPr>
          <w:p w14:paraId="161F3068" w14:textId="77777777" w:rsidR="00B535D4" w:rsidRDefault="00B535D4" w:rsidP="004C67E2">
            <w:r>
              <w:t>0</w:t>
            </w:r>
          </w:p>
        </w:tc>
        <w:tc>
          <w:tcPr>
            <w:tcW w:w="795" w:type="dxa"/>
            <w:shd w:val="clear" w:color="auto" w:fill="auto"/>
          </w:tcPr>
          <w:p w14:paraId="4590B570" w14:textId="77777777" w:rsidR="00B535D4" w:rsidRDefault="00B535D4" w:rsidP="004C67E2">
            <w:r>
              <w:t>1</w:t>
            </w:r>
          </w:p>
        </w:tc>
        <w:tc>
          <w:tcPr>
            <w:tcW w:w="795" w:type="dxa"/>
            <w:shd w:val="clear" w:color="auto" w:fill="auto"/>
          </w:tcPr>
          <w:p w14:paraId="5B8D513E" w14:textId="77777777" w:rsidR="00B535D4" w:rsidRDefault="00B535D4" w:rsidP="004C67E2">
            <w:r>
              <w:t>2</w:t>
            </w:r>
          </w:p>
        </w:tc>
        <w:tc>
          <w:tcPr>
            <w:tcW w:w="796" w:type="dxa"/>
            <w:shd w:val="clear" w:color="auto" w:fill="auto"/>
          </w:tcPr>
          <w:p w14:paraId="5772A345" w14:textId="77777777" w:rsidR="00B535D4" w:rsidRDefault="00B535D4" w:rsidP="004C67E2">
            <w:r>
              <w:t>3</w:t>
            </w:r>
          </w:p>
        </w:tc>
        <w:tc>
          <w:tcPr>
            <w:tcW w:w="796" w:type="dxa"/>
            <w:shd w:val="clear" w:color="auto" w:fill="auto"/>
          </w:tcPr>
          <w:p w14:paraId="63EE6F8C" w14:textId="77777777" w:rsidR="00B535D4" w:rsidRDefault="00B535D4" w:rsidP="004C67E2">
            <w:r>
              <w:t>4</w:t>
            </w:r>
          </w:p>
        </w:tc>
        <w:tc>
          <w:tcPr>
            <w:tcW w:w="796" w:type="dxa"/>
            <w:shd w:val="clear" w:color="auto" w:fill="auto"/>
          </w:tcPr>
          <w:p w14:paraId="4D3A33C3" w14:textId="77777777" w:rsidR="00B535D4" w:rsidRDefault="00B535D4" w:rsidP="004C67E2">
            <w:r>
              <w:t>5</w:t>
            </w:r>
          </w:p>
        </w:tc>
        <w:tc>
          <w:tcPr>
            <w:tcW w:w="796" w:type="dxa"/>
            <w:shd w:val="clear" w:color="auto" w:fill="auto"/>
          </w:tcPr>
          <w:p w14:paraId="4CE09AE1" w14:textId="77777777" w:rsidR="00B535D4" w:rsidRDefault="00B535D4" w:rsidP="004C67E2">
            <w:r>
              <w:t>6</w:t>
            </w:r>
          </w:p>
        </w:tc>
        <w:tc>
          <w:tcPr>
            <w:tcW w:w="796" w:type="dxa"/>
            <w:shd w:val="clear" w:color="auto" w:fill="auto"/>
          </w:tcPr>
          <w:p w14:paraId="5FA277D0" w14:textId="77777777" w:rsidR="00B535D4" w:rsidRDefault="00B535D4" w:rsidP="004C67E2">
            <w:r>
              <w:t>7</w:t>
            </w:r>
          </w:p>
        </w:tc>
        <w:tc>
          <w:tcPr>
            <w:tcW w:w="796" w:type="dxa"/>
            <w:shd w:val="clear" w:color="auto" w:fill="auto"/>
          </w:tcPr>
          <w:p w14:paraId="76DB4ABD" w14:textId="77777777" w:rsidR="00B535D4" w:rsidRDefault="00B535D4" w:rsidP="004C67E2">
            <w:r>
              <w:t>7,5</w:t>
            </w:r>
          </w:p>
        </w:tc>
        <w:tc>
          <w:tcPr>
            <w:tcW w:w="796" w:type="dxa"/>
            <w:shd w:val="clear" w:color="auto" w:fill="auto"/>
          </w:tcPr>
          <w:p w14:paraId="55CF2F3E" w14:textId="77777777" w:rsidR="00B535D4" w:rsidRDefault="00B535D4" w:rsidP="004C67E2">
            <w:r>
              <w:t>8</w:t>
            </w:r>
          </w:p>
        </w:tc>
        <w:tc>
          <w:tcPr>
            <w:tcW w:w="796" w:type="dxa"/>
            <w:shd w:val="clear" w:color="auto" w:fill="auto"/>
          </w:tcPr>
          <w:p w14:paraId="08543DA9" w14:textId="77777777" w:rsidR="00B535D4" w:rsidRDefault="00B535D4" w:rsidP="004C67E2">
            <w:r>
              <w:t>9</w:t>
            </w:r>
          </w:p>
        </w:tc>
        <w:tc>
          <w:tcPr>
            <w:tcW w:w="796" w:type="dxa"/>
            <w:shd w:val="clear" w:color="auto" w:fill="auto"/>
          </w:tcPr>
          <w:p w14:paraId="22CE3199" w14:textId="77777777" w:rsidR="00B535D4" w:rsidRDefault="00B535D4" w:rsidP="004C67E2">
            <w:r>
              <w:t>10</w:t>
            </w:r>
          </w:p>
        </w:tc>
      </w:tr>
      <w:tr w:rsidR="00B535D4" w14:paraId="7247F0B8" w14:textId="77777777" w:rsidTr="004C67E2">
        <w:tc>
          <w:tcPr>
            <w:tcW w:w="795" w:type="dxa"/>
            <w:shd w:val="clear" w:color="auto" w:fill="auto"/>
          </w:tcPr>
          <w:p w14:paraId="5DC44973" w14:textId="77777777" w:rsidR="00B535D4" w:rsidRDefault="00B535D4" w:rsidP="004C67E2">
            <w:r>
              <w:t>A</w:t>
            </w:r>
          </w:p>
        </w:tc>
        <w:tc>
          <w:tcPr>
            <w:tcW w:w="795" w:type="dxa"/>
            <w:shd w:val="clear" w:color="auto" w:fill="auto"/>
          </w:tcPr>
          <w:p w14:paraId="4E42979E" w14:textId="77777777" w:rsidR="00B535D4" w:rsidRDefault="00B535D4" w:rsidP="004C67E2">
            <w:r>
              <w:t>0,118</w:t>
            </w:r>
          </w:p>
        </w:tc>
        <w:tc>
          <w:tcPr>
            <w:tcW w:w="795" w:type="dxa"/>
            <w:shd w:val="clear" w:color="auto" w:fill="auto"/>
          </w:tcPr>
          <w:p w14:paraId="6BBF763E" w14:textId="77777777" w:rsidR="00B535D4" w:rsidRDefault="00B535D4" w:rsidP="004C67E2">
            <w:r>
              <w:t>0,162</w:t>
            </w:r>
          </w:p>
        </w:tc>
        <w:tc>
          <w:tcPr>
            <w:tcW w:w="795" w:type="dxa"/>
            <w:shd w:val="clear" w:color="auto" w:fill="auto"/>
          </w:tcPr>
          <w:p w14:paraId="2B280D4E" w14:textId="77777777" w:rsidR="00B535D4" w:rsidRDefault="00B535D4" w:rsidP="004C67E2">
            <w:r>
              <w:t>0,203</w:t>
            </w:r>
          </w:p>
        </w:tc>
        <w:tc>
          <w:tcPr>
            <w:tcW w:w="796" w:type="dxa"/>
            <w:shd w:val="clear" w:color="auto" w:fill="auto"/>
          </w:tcPr>
          <w:p w14:paraId="3A9328A7" w14:textId="77777777" w:rsidR="00B535D4" w:rsidRDefault="00B535D4" w:rsidP="004C67E2">
            <w:r>
              <w:t>0,254</w:t>
            </w:r>
          </w:p>
        </w:tc>
        <w:tc>
          <w:tcPr>
            <w:tcW w:w="796" w:type="dxa"/>
            <w:shd w:val="clear" w:color="auto" w:fill="auto"/>
          </w:tcPr>
          <w:p w14:paraId="3A8B54CD" w14:textId="77777777" w:rsidR="00B535D4" w:rsidRDefault="00B535D4" w:rsidP="004C67E2">
            <w:r>
              <w:t>0,319</w:t>
            </w:r>
          </w:p>
        </w:tc>
        <w:tc>
          <w:tcPr>
            <w:tcW w:w="796" w:type="dxa"/>
            <w:shd w:val="clear" w:color="auto" w:fill="auto"/>
          </w:tcPr>
          <w:p w14:paraId="0E4116EA" w14:textId="77777777" w:rsidR="00B535D4" w:rsidRDefault="00B535D4" w:rsidP="004C67E2">
            <w:r>
              <w:t>0,396</w:t>
            </w:r>
          </w:p>
        </w:tc>
        <w:tc>
          <w:tcPr>
            <w:tcW w:w="796" w:type="dxa"/>
            <w:shd w:val="clear" w:color="auto" w:fill="auto"/>
          </w:tcPr>
          <w:p w14:paraId="7218CBB2" w14:textId="77777777" w:rsidR="00B535D4" w:rsidRDefault="00B535D4" w:rsidP="004C67E2">
            <w:r>
              <w:t>0,607</w:t>
            </w:r>
          </w:p>
        </w:tc>
        <w:tc>
          <w:tcPr>
            <w:tcW w:w="796" w:type="dxa"/>
            <w:shd w:val="clear" w:color="auto" w:fill="auto"/>
          </w:tcPr>
          <w:p w14:paraId="3C4B70D0" w14:textId="77777777" w:rsidR="00B535D4" w:rsidRDefault="00B535D4" w:rsidP="004C67E2">
            <w:r>
              <w:t>0,781</w:t>
            </w:r>
          </w:p>
        </w:tc>
        <w:tc>
          <w:tcPr>
            <w:tcW w:w="796" w:type="dxa"/>
            <w:shd w:val="clear" w:color="auto" w:fill="auto"/>
          </w:tcPr>
          <w:p w14:paraId="3533ACDC" w14:textId="77777777" w:rsidR="00B535D4" w:rsidRDefault="00B535D4" w:rsidP="004C67E2">
            <w:r>
              <w:t>0,787</w:t>
            </w:r>
          </w:p>
        </w:tc>
        <w:tc>
          <w:tcPr>
            <w:tcW w:w="796" w:type="dxa"/>
            <w:shd w:val="clear" w:color="auto" w:fill="auto"/>
          </w:tcPr>
          <w:p w14:paraId="1A7B50D6" w14:textId="77777777" w:rsidR="00B535D4" w:rsidRDefault="00B535D4" w:rsidP="004C67E2">
            <w:r>
              <w:t>0,638</w:t>
            </w:r>
          </w:p>
        </w:tc>
        <w:tc>
          <w:tcPr>
            <w:tcW w:w="796" w:type="dxa"/>
            <w:shd w:val="clear" w:color="auto" w:fill="auto"/>
          </w:tcPr>
          <w:p w14:paraId="07D8DE37" w14:textId="77777777" w:rsidR="00B535D4" w:rsidRDefault="00B535D4" w:rsidP="004C67E2">
            <w:r>
              <w:t>0,343</w:t>
            </w:r>
          </w:p>
        </w:tc>
        <w:tc>
          <w:tcPr>
            <w:tcW w:w="796" w:type="dxa"/>
            <w:shd w:val="clear" w:color="auto" w:fill="auto"/>
          </w:tcPr>
          <w:p w14:paraId="25D18780" w14:textId="77777777" w:rsidR="00B535D4" w:rsidRDefault="00B535D4" w:rsidP="004C67E2">
            <w:r>
              <w:t>0,05</w:t>
            </w:r>
          </w:p>
        </w:tc>
      </w:tr>
    </w:tbl>
    <w:p w14:paraId="4CEABE07" w14:textId="77777777" w:rsidR="00B535D4" w:rsidRDefault="00B535D4" w:rsidP="00B535D4"/>
    <w:p w14:paraId="6488DDB2" w14:textId="77777777" w:rsidR="00B535D4" w:rsidRDefault="00B535D4" w:rsidP="00B535D4"/>
    <w:p w14:paraId="71ADD69E" w14:textId="77777777" w:rsidR="00B535D4" w:rsidRDefault="00B535D4" w:rsidP="00B535D4"/>
    <w:p w14:paraId="350F6D40" w14:textId="6C4DCE13" w:rsidR="00B535D4" w:rsidRDefault="00B535D4"/>
    <w:p w14:paraId="7FE7AA3B" w14:textId="757A9909" w:rsidR="00ED097C" w:rsidRDefault="00ED097C"/>
    <w:p w14:paraId="7B4DD4FE" w14:textId="73F115AC" w:rsidR="00ED097C" w:rsidRDefault="00ED097C"/>
    <w:p w14:paraId="02D95C00" w14:textId="77777777" w:rsidR="00ED097C" w:rsidRDefault="00ED097C"/>
    <w:p w14:paraId="423B5663" w14:textId="796DE688" w:rsidR="00ED097C" w:rsidRDefault="00ED097C"/>
    <w:p w14:paraId="7FB93A4B" w14:textId="77777777" w:rsidR="00ED097C" w:rsidRPr="00ED097C" w:rsidRDefault="00ED097C" w:rsidP="00ED097C">
      <w:pPr>
        <w:jc w:val="center"/>
        <w:rPr>
          <w:b/>
          <w:bCs/>
        </w:rPr>
      </w:pPr>
      <w:r w:rsidRPr="00ED097C">
        <w:rPr>
          <w:b/>
          <w:bCs/>
        </w:rPr>
        <w:t xml:space="preserve">TP  6 – Détermination de la </w:t>
      </w:r>
      <w:proofErr w:type="spellStart"/>
      <w:r w:rsidRPr="00ED097C">
        <w:rPr>
          <w:b/>
          <w:bCs/>
        </w:rPr>
        <w:t>stoechiométrie</w:t>
      </w:r>
      <w:proofErr w:type="spellEnd"/>
      <w:r w:rsidRPr="00ED097C">
        <w:rPr>
          <w:b/>
          <w:bCs/>
        </w:rPr>
        <w:t xml:space="preserve"> du complexe   </w:t>
      </w:r>
      <w:proofErr w:type="gramStart"/>
      <w:r w:rsidRPr="00ED097C">
        <w:rPr>
          <w:b/>
          <w:bCs/>
        </w:rPr>
        <w:t>Ni(</w:t>
      </w:r>
      <w:proofErr w:type="gramEnd"/>
      <w:r w:rsidRPr="00ED097C">
        <w:rPr>
          <w:b/>
          <w:bCs/>
        </w:rPr>
        <w:t>II)-en , Ni(en)</w:t>
      </w:r>
      <w:r w:rsidRPr="00ED097C">
        <w:rPr>
          <w:b/>
          <w:bCs/>
          <w:vertAlign w:val="subscript"/>
        </w:rPr>
        <w:t>q</w:t>
      </w:r>
      <w:r w:rsidRPr="00ED097C">
        <w:rPr>
          <w:b/>
          <w:bCs/>
          <w:vertAlign w:val="superscript"/>
        </w:rPr>
        <w:t>2+</w:t>
      </w:r>
    </w:p>
    <w:p w14:paraId="7FFE4CD3" w14:textId="77777777" w:rsidR="00ED097C" w:rsidRPr="00ED097C" w:rsidRDefault="00ED097C" w:rsidP="00ED097C">
      <w:pPr>
        <w:jc w:val="center"/>
        <w:rPr>
          <w:b/>
          <w:bCs/>
        </w:rPr>
      </w:pPr>
      <w:r w:rsidRPr="00ED097C">
        <w:rPr>
          <w:b/>
          <w:bCs/>
        </w:rPr>
        <w:t>Résultats expérimentaux</w:t>
      </w:r>
    </w:p>
    <w:p w14:paraId="59D624F9" w14:textId="77777777" w:rsidR="00ED097C" w:rsidRDefault="00ED097C" w:rsidP="00ED097C">
      <w:pPr>
        <w:rPr>
          <w:b/>
          <w:i/>
          <w:u w:val="single"/>
        </w:rPr>
      </w:pPr>
    </w:p>
    <w:p w14:paraId="07555B13" w14:textId="77777777" w:rsidR="00ED097C" w:rsidRDefault="00ED097C" w:rsidP="00ED097C">
      <w:r>
        <w:t xml:space="preserve">Dans des béchers on réalise le mélange d’un volume </w:t>
      </w:r>
      <w:proofErr w:type="spellStart"/>
      <w:proofErr w:type="gramStart"/>
      <w:r>
        <w:t>V</w:t>
      </w:r>
      <w:r>
        <w:rPr>
          <w:vertAlign w:val="subscript"/>
        </w:rPr>
        <w:t>Ni</w:t>
      </w:r>
      <w:proofErr w:type="spellEnd"/>
      <w:r>
        <w:rPr>
          <w:vertAlign w:val="subscript"/>
        </w:rPr>
        <w:t xml:space="preserve"> </w:t>
      </w:r>
      <w:r>
        <w:t xml:space="preserve"> de</w:t>
      </w:r>
      <w:proofErr w:type="gramEnd"/>
      <w:r>
        <w:t xml:space="preserve"> la solution de nickel (II) et d’un volume de V</w:t>
      </w:r>
      <w:r w:rsidRPr="009A366E">
        <w:rPr>
          <w:vertAlign w:val="subscript"/>
        </w:rPr>
        <w:t>L</w:t>
      </w:r>
      <w:r>
        <w:t xml:space="preserve"> de la solution de ligand en respectant </w:t>
      </w:r>
      <w:r w:rsidRPr="00B535D4">
        <w:rPr>
          <w:b/>
        </w:rPr>
        <w:t>V</w:t>
      </w:r>
      <w:r w:rsidRPr="00B535D4">
        <w:rPr>
          <w:b/>
          <w:vertAlign w:val="subscript"/>
        </w:rPr>
        <w:t>L</w:t>
      </w:r>
      <w:r w:rsidRPr="00B535D4">
        <w:rPr>
          <w:b/>
        </w:rPr>
        <w:t xml:space="preserve"> + </w:t>
      </w:r>
      <w:proofErr w:type="spellStart"/>
      <w:r w:rsidRPr="00B535D4">
        <w:rPr>
          <w:b/>
        </w:rPr>
        <w:t>V</w:t>
      </w:r>
      <w:r w:rsidRPr="00B535D4">
        <w:rPr>
          <w:b/>
          <w:vertAlign w:val="subscript"/>
        </w:rPr>
        <w:t>Ni</w:t>
      </w:r>
      <w:proofErr w:type="spellEnd"/>
      <w:r w:rsidRPr="00B535D4">
        <w:rPr>
          <w:b/>
        </w:rPr>
        <w:t xml:space="preserve"> </w:t>
      </w:r>
      <w:r>
        <w:rPr>
          <w:b/>
        </w:rPr>
        <w:t>= V</w:t>
      </w:r>
      <w:r>
        <w:rPr>
          <w:b/>
          <w:vertAlign w:val="subscript"/>
        </w:rPr>
        <w:t>0</w:t>
      </w:r>
      <w:r>
        <w:rPr>
          <w:b/>
        </w:rPr>
        <w:t xml:space="preserve"> = </w:t>
      </w:r>
      <w:r w:rsidRPr="00B535D4">
        <w:rPr>
          <w:b/>
        </w:rPr>
        <w:t xml:space="preserve"> 10 </w:t>
      </w:r>
      <w:proofErr w:type="spellStart"/>
      <w:r w:rsidRPr="00B535D4">
        <w:rPr>
          <w:b/>
        </w:rPr>
        <w:t>mL</w:t>
      </w:r>
      <w:proofErr w:type="spellEnd"/>
      <w:r w:rsidRPr="00B535D4">
        <w:rPr>
          <w:b/>
        </w:rPr>
        <w:t xml:space="preserve"> .</w:t>
      </w:r>
      <w:r>
        <w:t xml:space="preserve"> </w:t>
      </w:r>
      <w:r>
        <w:br/>
        <w:t xml:space="preserve">Les volumes sont prélevés à l’aide de pipettes </w:t>
      </w:r>
      <w:proofErr w:type="gramStart"/>
      <w:r>
        <w:t>graduées .</w:t>
      </w:r>
      <w:proofErr w:type="gramEnd"/>
      <w:r>
        <w:t xml:space="preserve"> </w:t>
      </w:r>
    </w:p>
    <w:p w14:paraId="7093899E" w14:textId="77777777" w:rsidR="00ED097C" w:rsidRDefault="00ED097C" w:rsidP="00ED097C">
      <w:r>
        <w:t xml:space="preserve">Apres avoir fixé la longueur d’onde à 550 nm et fait le </w:t>
      </w:r>
      <w:proofErr w:type="gramStart"/>
      <w:r>
        <w:t>zéro ,</w:t>
      </w:r>
      <w:proofErr w:type="gramEnd"/>
      <w:r>
        <w:t xml:space="preserve"> on mesure l’absorbance des différentes solutions obtenues . </w:t>
      </w:r>
      <w:proofErr w:type="gramStart"/>
      <w:r>
        <w:t>les</w:t>
      </w:r>
      <w:proofErr w:type="gramEnd"/>
      <w:r>
        <w:t xml:space="preserve"> résultats sont indiqués dans le tableau ci-dessous : </w:t>
      </w:r>
    </w:p>
    <w:p w14:paraId="6713688F" w14:textId="77777777" w:rsidR="00ED097C" w:rsidRDefault="00ED097C" w:rsidP="00ED09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764"/>
      </w:tblGrid>
      <w:tr w:rsidR="00ED097C" w14:paraId="69C2AC4F" w14:textId="77777777" w:rsidTr="00A90646">
        <w:tc>
          <w:tcPr>
            <w:tcW w:w="10344" w:type="dxa"/>
            <w:gridSpan w:val="13"/>
            <w:shd w:val="clear" w:color="auto" w:fill="auto"/>
          </w:tcPr>
          <w:p w14:paraId="6E9F2105" w14:textId="77777777" w:rsidR="00ED097C" w:rsidRDefault="00ED097C" w:rsidP="00A90646">
            <w:r>
              <w:rPr>
                <w:noProof/>
              </w:rPr>
              <w:drawing>
                <wp:inline distT="0" distB="0" distL="0" distR="0" wp14:anchorId="05B37D26" wp14:editId="51D4D074">
                  <wp:extent cx="6477000" cy="1915160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1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97C" w14:paraId="461B7EC2" w14:textId="77777777" w:rsidTr="00A90646">
        <w:tc>
          <w:tcPr>
            <w:tcW w:w="795" w:type="dxa"/>
            <w:shd w:val="clear" w:color="auto" w:fill="auto"/>
          </w:tcPr>
          <w:p w14:paraId="6C593753" w14:textId="77777777" w:rsidR="00ED097C" w:rsidRPr="009A366E" w:rsidRDefault="00ED097C" w:rsidP="00A90646">
            <w:r>
              <w:t>V</w:t>
            </w:r>
            <w:r w:rsidRPr="00B33F85">
              <w:rPr>
                <w:vertAlign w:val="subscript"/>
              </w:rPr>
              <w:t>L</w:t>
            </w:r>
          </w:p>
        </w:tc>
        <w:tc>
          <w:tcPr>
            <w:tcW w:w="795" w:type="dxa"/>
            <w:shd w:val="clear" w:color="auto" w:fill="auto"/>
          </w:tcPr>
          <w:p w14:paraId="35AC692F" w14:textId="77777777" w:rsidR="00ED097C" w:rsidRDefault="00ED097C" w:rsidP="00A90646">
            <w:r>
              <w:t>0</w:t>
            </w:r>
          </w:p>
        </w:tc>
        <w:tc>
          <w:tcPr>
            <w:tcW w:w="795" w:type="dxa"/>
            <w:shd w:val="clear" w:color="auto" w:fill="auto"/>
          </w:tcPr>
          <w:p w14:paraId="324BF7A2" w14:textId="77777777" w:rsidR="00ED097C" w:rsidRDefault="00ED097C" w:rsidP="00A90646">
            <w:r>
              <w:t>1</w:t>
            </w:r>
          </w:p>
        </w:tc>
        <w:tc>
          <w:tcPr>
            <w:tcW w:w="795" w:type="dxa"/>
            <w:shd w:val="clear" w:color="auto" w:fill="auto"/>
          </w:tcPr>
          <w:p w14:paraId="2767C73D" w14:textId="77777777" w:rsidR="00ED097C" w:rsidRDefault="00ED097C" w:rsidP="00A90646">
            <w:r>
              <w:t>2</w:t>
            </w:r>
          </w:p>
        </w:tc>
        <w:tc>
          <w:tcPr>
            <w:tcW w:w="796" w:type="dxa"/>
            <w:shd w:val="clear" w:color="auto" w:fill="auto"/>
          </w:tcPr>
          <w:p w14:paraId="53532A47" w14:textId="77777777" w:rsidR="00ED097C" w:rsidRDefault="00ED097C" w:rsidP="00A90646">
            <w:r>
              <w:t>3</w:t>
            </w:r>
          </w:p>
        </w:tc>
        <w:tc>
          <w:tcPr>
            <w:tcW w:w="796" w:type="dxa"/>
            <w:shd w:val="clear" w:color="auto" w:fill="auto"/>
          </w:tcPr>
          <w:p w14:paraId="3889CBB2" w14:textId="77777777" w:rsidR="00ED097C" w:rsidRDefault="00ED097C" w:rsidP="00A90646">
            <w:r>
              <w:t>4</w:t>
            </w:r>
          </w:p>
        </w:tc>
        <w:tc>
          <w:tcPr>
            <w:tcW w:w="796" w:type="dxa"/>
            <w:shd w:val="clear" w:color="auto" w:fill="auto"/>
          </w:tcPr>
          <w:p w14:paraId="195846B4" w14:textId="77777777" w:rsidR="00ED097C" w:rsidRDefault="00ED097C" w:rsidP="00A90646">
            <w:r>
              <w:t>5</w:t>
            </w:r>
          </w:p>
        </w:tc>
        <w:tc>
          <w:tcPr>
            <w:tcW w:w="796" w:type="dxa"/>
            <w:shd w:val="clear" w:color="auto" w:fill="auto"/>
          </w:tcPr>
          <w:p w14:paraId="6A9D3577" w14:textId="77777777" w:rsidR="00ED097C" w:rsidRDefault="00ED097C" w:rsidP="00A90646">
            <w:r>
              <w:t>6</w:t>
            </w:r>
          </w:p>
        </w:tc>
        <w:tc>
          <w:tcPr>
            <w:tcW w:w="796" w:type="dxa"/>
            <w:shd w:val="clear" w:color="auto" w:fill="auto"/>
          </w:tcPr>
          <w:p w14:paraId="2C18FA69" w14:textId="77777777" w:rsidR="00ED097C" w:rsidRDefault="00ED097C" w:rsidP="00A90646">
            <w:r>
              <w:t>7</w:t>
            </w:r>
          </w:p>
        </w:tc>
        <w:tc>
          <w:tcPr>
            <w:tcW w:w="796" w:type="dxa"/>
            <w:shd w:val="clear" w:color="auto" w:fill="auto"/>
          </w:tcPr>
          <w:p w14:paraId="554B625D" w14:textId="77777777" w:rsidR="00ED097C" w:rsidRDefault="00ED097C" w:rsidP="00A90646">
            <w:r>
              <w:t>7,5</w:t>
            </w:r>
          </w:p>
        </w:tc>
        <w:tc>
          <w:tcPr>
            <w:tcW w:w="796" w:type="dxa"/>
            <w:shd w:val="clear" w:color="auto" w:fill="auto"/>
          </w:tcPr>
          <w:p w14:paraId="480969EB" w14:textId="77777777" w:rsidR="00ED097C" w:rsidRDefault="00ED097C" w:rsidP="00A90646">
            <w:r>
              <w:t>8</w:t>
            </w:r>
          </w:p>
        </w:tc>
        <w:tc>
          <w:tcPr>
            <w:tcW w:w="796" w:type="dxa"/>
            <w:shd w:val="clear" w:color="auto" w:fill="auto"/>
          </w:tcPr>
          <w:p w14:paraId="2C3137EF" w14:textId="77777777" w:rsidR="00ED097C" w:rsidRDefault="00ED097C" w:rsidP="00A90646">
            <w:r>
              <w:t>9</w:t>
            </w:r>
          </w:p>
        </w:tc>
        <w:tc>
          <w:tcPr>
            <w:tcW w:w="796" w:type="dxa"/>
            <w:shd w:val="clear" w:color="auto" w:fill="auto"/>
          </w:tcPr>
          <w:p w14:paraId="773BA450" w14:textId="77777777" w:rsidR="00ED097C" w:rsidRDefault="00ED097C" w:rsidP="00A90646">
            <w:r>
              <w:t>10</w:t>
            </w:r>
          </w:p>
        </w:tc>
      </w:tr>
      <w:tr w:rsidR="00ED097C" w14:paraId="5F2BFD96" w14:textId="77777777" w:rsidTr="00A90646">
        <w:tc>
          <w:tcPr>
            <w:tcW w:w="795" w:type="dxa"/>
            <w:shd w:val="clear" w:color="auto" w:fill="auto"/>
          </w:tcPr>
          <w:p w14:paraId="27DAAF52" w14:textId="77777777" w:rsidR="00ED097C" w:rsidRDefault="00ED097C" w:rsidP="00A90646">
            <w:r>
              <w:t>A</w:t>
            </w:r>
          </w:p>
        </w:tc>
        <w:tc>
          <w:tcPr>
            <w:tcW w:w="795" w:type="dxa"/>
            <w:shd w:val="clear" w:color="auto" w:fill="auto"/>
          </w:tcPr>
          <w:p w14:paraId="0B84A446" w14:textId="77777777" w:rsidR="00ED097C" w:rsidRDefault="00ED097C" w:rsidP="00A90646">
            <w:r>
              <w:t>0,118</w:t>
            </w:r>
          </w:p>
        </w:tc>
        <w:tc>
          <w:tcPr>
            <w:tcW w:w="795" w:type="dxa"/>
            <w:shd w:val="clear" w:color="auto" w:fill="auto"/>
          </w:tcPr>
          <w:p w14:paraId="7A9ECFD7" w14:textId="77777777" w:rsidR="00ED097C" w:rsidRDefault="00ED097C" w:rsidP="00A90646">
            <w:r>
              <w:t>0,162</w:t>
            </w:r>
          </w:p>
        </w:tc>
        <w:tc>
          <w:tcPr>
            <w:tcW w:w="795" w:type="dxa"/>
            <w:shd w:val="clear" w:color="auto" w:fill="auto"/>
          </w:tcPr>
          <w:p w14:paraId="39987712" w14:textId="77777777" w:rsidR="00ED097C" w:rsidRDefault="00ED097C" w:rsidP="00A90646">
            <w:r>
              <w:t>0,203</w:t>
            </w:r>
          </w:p>
        </w:tc>
        <w:tc>
          <w:tcPr>
            <w:tcW w:w="796" w:type="dxa"/>
            <w:shd w:val="clear" w:color="auto" w:fill="auto"/>
          </w:tcPr>
          <w:p w14:paraId="291CD312" w14:textId="77777777" w:rsidR="00ED097C" w:rsidRDefault="00ED097C" w:rsidP="00A90646">
            <w:r>
              <w:t>0,254</w:t>
            </w:r>
          </w:p>
        </w:tc>
        <w:tc>
          <w:tcPr>
            <w:tcW w:w="796" w:type="dxa"/>
            <w:shd w:val="clear" w:color="auto" w:fill="auto"/>
          </w:tcPr>
          <w:p w14:paraId="51DA11BC" w14:textId="77777777" w:rsidR="00ED097C" w:rsidRDefault="00ED097C" w:rsidP="00A90646">
            <w:r>
              <w:t>0,319</w:t>
            </w:r>
          </w:p>
        </w:tc>
        <w:tc>
          <w:tcPr>
            <w:tcW w:w="796" w:type="dxa"/>
            <w:shd w:val="clear" w:color="auto" w:fill="auto"/>
          </w:tcPr>
          <w:p w14:paraId="35E73BFA" w14:textId="77777777" w:rsidR="00ED097C" w:rsidRDefault="00ED097C" w:rsidP="00A90646">
            <w:r>
              <w:t>0,396</w:t>
            </w:r>
          </w:p>
        </w:tc>
        <w:tc>
          <w:tcPr>
            <w:tcW w:w="796" w:type="dxa"/>
            <w:shd w:val="clear" w:color="auto" w:fill="auto"/>
          </w:tcPr>
          <w:p w14:paraId="02F4C821" w14:textId="77777777" w:rsidR="00ED097C" w:rsidRDefault="00ED097C" w:rsidP="00A90646">
            <w:r>
              <w:t>0,607</w:t>
            </w:r>
          </w:p>
        </w:tc>
        <w:tc>
          <w:tcPr>
            <w:tcW w:w="796" w:type="dxa"/>
            <w:shd w:val="clear" w:color="auto" w:fill="auto"/>
          </w:tcPr>
          <w:p w14:paraId="03AE5975" w14:textId="77777777" w:rsidR="00ED097C" w:rsidRDefault="00ED097C" w:rsidP="00A90646">
            <w:r>
              <w:t>0,781</w:t>
            </w:r>
          </w:p>
        </w:tc>
        <w:tc>
          <w:tcPr>
            <w:tcW w:w="796" w:type="dxa"/>
            <w:shd w:val="clear" w:color="auto" w:fill="auto"/>
          </w:tcPr>
          <w:p w14:paraId="52AA8B36" w14:textId="77777777" w:rsidR="00ED097C" w:rsidRDefault="00ED097C" w:rsidP="00A90646">
            <w:r>
              <w:t>0,787</w:t>
            </w:r>
          </w:p>
        </w:tc>
        <w:tc>
          <w:tcPr>
            <w:tcW w:w="796" w:type="dxa"/>
            <w:shd w:val="clear" w:color="auto" w:fill="auto"/>
          </w:tcPr>
          <w:p w14:paraId="73AB7FCE" w14:textId="77777777" w:rsidR="00ED097C" w:rsidRDefault="00ED097C" w:rsidP="00A90646">
            <w:r>
              <w:t>0,638</w:t>
            </w:r>
          </w:p>
        </w:tc>
        <w:tc>
          <w:tcPr>
            <w:tcW w:w="796" w:type="dxa"/>
            <w:shd w:val="clear" w:color="auto" w:fill="auto"/>
          </w:tcPr>
          <w:p w14:paraId="1552F3A8" w14:textId="77777777" w:rsidR="00ED097C" w:rsidRDefault="00ED097C" w:rsidP="00A90646">
            <w:r>
              <w:t>0,343</w:t>
            </w:r>
          </w:p>
        </w:tc>
        <w:tc>
          <w:tcPr>
            <w:tcW w:w="796" w:type="dxa"/>
            <w:shd w:val="clear" w:color="auto" w:fill="auto"/>
          </w:tcPr>
          <w:p w14:paraId="2A5A2436" w14:textId="77777777" w:rsidR="00ED097C" w:rsidRDefault="00ED097C" w:rsidP="00A90646">
            <w:r>
              <w:t>0,05</w:t>
            </w:r>
          </w:p>
        </w:tc>
      </w:tr>
    </w:tbl>
    <w:p w14:paraId="35AC58C2" w14:textId="77777777" w:rsidR="00ED097C" w:rsidRDefault="00ED097C" w:rsidP="00ED097C"/>
    <w:p w14:paraId="2FD5C838" w14:textId="77777777" w:rsidR="00ED097C" w:rsidRDefault="00ED097C" w:rsidP="00ED097C"/>
    <w:p w14:paraId="376ED998" w14:textId="77777777" w:rsidR="00ED097C" w:rsidRDefault="00ED097C" w:rsidP="00ED097C"/>
    <w:p w14:paraId="329E8079" w14:textId="77777777" w:rsidR="00ED097C" w:rsidRDefault="00ED097C" w:rsidP="00ED097C"/>
    <w:p w14:paraId="0831F60E" w14:textId="77777777" w:rsidR="00ED097C" w:rsidRDefault="00ED097C"/>
    <w:sectPr w:rsidR="00ED097C" w:rsidSect="00ED0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D4"/>
    <w:rsid w:val="001C5320"/>
    <w:rsid w:val="006C69B3"/>
    <w:rsid w:val="00B535D4"/>
    <w:rsid w:val="00E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EFBE"/>
  <w15:chartTrackingRefBased/>
  <w15:docId w15:val="{169CA4F7-3403-4B9D-9E8E-A57E9875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32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Ninise</cp:lastModifiedBy>
  <cp:revision>2</cp:revision>
  <dcterms:created xsi:type="dcterms:W3CDTF">2022-12-10T10:56:00Z</dcterms:created>
  <dcterms:modified xsi:type="dcterms:W3CDTF">2022-12-14T22:15:00Z</dcterms:modified>
</cp:coreProperties>
</file>