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19B9" w14:textId="4FC2ECF6" w:rsidR="006D5145" w:rsidRPr="00031777" w:rsidRDefault="00092568" w:rsidP="0003177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726" wp14:editId="7BE83B21">
                <wp:simplePos x="0" y="0"/>
                <wp:positionH relativeFrom="column">
                  <wp:posOffset>4399753</wp:posOffset>
                </wp:positionH>
                <wp:positionV relativeFrom="paragraph">
                  <wp:posOffset>-214778</wp:posOffset>
                </wp:positionV>
                <wp:extent cx="1726727" cy="489098"/>
                <wp:effectExtent l="0" t="0" r="26035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727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3D90" w14:textId="4AE3E31F" w:rsidR="00092568" w:rsidRDefault="00092568">
                            <w:bookmarkStart w:id="0" w:name="_Hlk81910113"/>
                            <w:bookmarkEnd w:id="0"/>
                            <w:r>
                              <w:t xml:space="preserve">Nom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967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6.45pt;margin-top:-16.9pt;width:135.9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" fillcolor="white [3201]" strokeweight=".5pt">
                <v:textbox>
                  <w:txbxContent>
                    <w:p w14:paraId="075E3D90" w14:textId="4AE3E31F" w:rsidR="00092568" w:rsidRDefault="00092568">
                      <w:bookmarkStart w:id="1" w:name="_Hlk81910113"/>
                      <w:bookmarkEnd w:id="1"/>
                      <w:r>
                        <w:t xml:space="preserve">Nom : </w:t>
                      </w:r>
                    </w:p>
                  </w:txbxContent>
                </v:textbox>
              </v:shape>
            </w:pict>
          </mc:Fallback>
        </mc:AlternateContent>
      </w:r>
      <w:r w:rsidR="0031541D" w:rsidRPr="00031777">
        <w:rPr>
          <w:b/>
          <w:bCs/>
        </w:rPr>
        <w:t>PC* 2021/2022</w:t>
      </w:r>
    </w:p>
    <w:p w14:paraId="5EA87251" w14:textId="4FB96201" w:rsidR="0031541D" w:rsidRPr="00031777" w:rsidRDefault="0031541D" w:rsidP="0003177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  <w:bCs/>
        </w:rPr>
      </w:pPr>
      <w:r w:rsidRPr="00031777">
        <w:rPr>
          <w:b/>
          <w:bCs/>
        </w:rPr>
        <w:t xml:space="preserve">Bellevue </w:t>
      </w:r>
    </w:p>
    <w:p w14:paraId="19FC9E7F" w14:textId="0B5936E5" w:rsidR="0031541D" w:rsidRDefault="0031541D"/>
    <w:p w14:paraId="789BB0FA" w14:textId="43C8AF1C" w:rsidR="0031541D" w:rsidRPr="00031777" w:rsidRDefault="0031541D" w:rsidP="00031777">
      <w:pPr>
        <w:jc w:val="center"/>
        <w:rPr>
          <w:b/>
          <w:bCs/>
        </w:rPr>
      </w:pPr>
      <w:r w:rsidRPr="00031777">
        <w:rPr>
          <w:b/>
          <w:bCs/>
        </w:rPr>
        <w:t xml:space="preserve">TP </w:t>
      </w:r>
      <w:r w:rsidR="00E35958">
        <w:rPr>
          <w:b/>
          <w:bCs/>
        </w:rPr>
        <w:t>2</w:t>
      </w:r>
      <w:r w:rsidRPr="00031777">
        <w:rPr>
          <w:b/>
          <w:bCs/>
        </w:rPr>
        <w:t> : test préliminaire</w:t>
      </w:r>
    </w:p>
    <w:p w14:paraId="0C046ED8" w14:textId="211D155C" w:rsidR="0031541D" w:rsidRDefault="003154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0"/>
        <w:gridCol w:w="5035"/>
        <w:gridCol w:w="4294"/>
        <w:gridCol w:w="497"/>
      </w:tblGrid>
      <w:tr w:rsidR="00031777" w14:paraId="4AD12CD7" w14:textId="785D2ED6" w:rsidTr="00546546">
        <w:tc>
          <w:tcPr>
            <w:tcW w:w="630" w:type="dxa"/>
          </w:tcPr>
          <w:p w14:paraId="2C139A88" w14:textId="1DD44A6F" w:rsidR="00031777" w:rsidRDefault="00031777">
            <w:r>
              <w:t>Q1</w:t>
            </w:r>
          </w:p>
        </w:tc>
        <w:tc>
          <w:tcPr>
            <w:tcW w:w="5035" w:type="dxa"/>
          </w:tcPr>
          <w:p w14:paraId="00F56B1F" w14:textId="2FDEAC02" w:rsidR="00031777" w:rsidRDefault="00E35958">
            <w:r>
              <w:t xml:space="preserve">Préciser quelle est la grandeur G effectivement mesurée lors des expériences suivies par conductimétrie et indiquer sa relation avec la conductivité </w:t>
            </w:r>
            <w:r w:rsidRPr="00E35958">
              <w:rPr>
                <w:rFonts w:ascii="Symbol" w:hAnsi="Symbol"/>
              </w:rPr>
              <w:t>s</w:t>
            </w:r>
            <w:r>
              <w:t xml:space="preserve"> de la </w:t>
            </w:r>
            <w:proofErr w:type="gramStart"/>
            <w:r>
              <w:t>solution .</w:t>
            </w:r>
            <w:proofErr w:type="gramEnd"/>
          </w:p>
        </w:tc>
        <w:tc>
          <w:tcPr>
            <w:tcW w:w="4294" w:type="dxa"/>
          </w:tcPr>
          <w:p w14:paraId="621B4273" w14:textId="77777777" w:rsidR="00031777" w:rsidRDefault="00031777"/>
        </w:tc>
        <w:tc>
          <w:tcPr>
            <w:tcW w:w="497" w:type="dxa"/>
          </w:tcPr>
          <w:p w14:paraId="29DAC300" w14:textId="77777777" w:rsidR="00031777" w:rsidRDefault="00031777"/>
        </w:tc>
      </w:tr>
      <w:tr w:rsidR="00E35958" w14:paraId="09C523A6" w14:textId="77777777" w:rsidTr="00546546">
        <w:tc>
          <w:tcPr>
            <w:tcW w:w="630" w:type="dxa"/>
          </w:tcPr>
          <w:p w14:paraId="6C92D487" w14:textId="61847255" w:rsidR="00E35958" w:rsidRDefault="00E35958">
            <w:r>
              <w:t>Q2</w:t>
            </w:r>
          </w:p>
        </w:tc>
        <w:tc>
          <w:tcPr>
            <w:tcW w:w="5035" w:type="dxa"/>
          </w:tcPr>
          <w:p w14:paraId="59BFF793" w14:textId="77777777" w:rsidR="00E35958" w:rsidRDefault="00E35958">
            <w:r>
              <w:t xml:space="preserve">Unité de la conductivité </w:t>
            </w:r>
          </w:p>
          <w:p w14:paraId="57F034D4" w14:textId="65110A2B" w:rsidR="00E35958" w:rsidRDefault="00E35958"/>
        </w:tc>
        <w:tc>
          <w:tcPr>
            <w:tcW w:w="4294" w:type="dxa"/>
          </w:tcPr>
          <w:p w14:paraId="35279789" w14:textId="77777777" w:rsidR="00E35958" w:rsidRDefault="00E35958"/>
        </w:tc>
        <w:tc>
          <w:tcPr>
            <w:tcW w:w="497" w:type="dxa"/>
          </w:tcPr>
          <w:p w14:paraId="4AED3989" w14:textId="77777777" w:rsidR="00E35958" w:rsidRDefault="00E35958"/>
        </w:tc>
      </w:tr>
      <w:tr w:rsidR="00031777" w14:paraId="56077209" w14:textId="4877A932" w:rsidTr="00546546">
        <w:tc>
          <w:tcPr>
            <w:tcW w:w="630" w:type="dxa"/>
          </w:tcPr>
          <w:p w14:paraId="5B0CC914" w14:textId="2001F3C4" w:rsidR="00031777" w:rsidRDefault="00031777">
            <w:r>
              <w:t>Q</w:t>
            </w:r>
            <w:r w:rsidR="00E35958">
              <w:t>3</w:t>
            </w:r>
          </w:p>
        </w:tc>
        <w:tc>
          <w:tcPr>
            <w:tcW w:w="5035" w:type="dxa"/>
          </w:tcPr>
          <w:p w14:paraId="55B20B19" w14:textId="5A0BF178" w:rsidR="00031777" w:rsidRPr="00E35958" w:rsidRDefault="00E550E3">
            <w:r>
              <w:t xml:space="preserve">Préciser le couple redox associé à l’électrode au calomel </w:t>
            </w:r>
            <w:proofErr w:type="gramStart"/>
            <w:r>
              <w:t>saturé .</w:t>
            </w:r>
            <w:proofErr w:type="gramEnd"/>
          </w:p>
        </w:tc>
        <w:tc>
          <w:tcPr>
            <w:tcW w:w="4294" w:type="dxa"/>
          </w:tcPr>
          <w:p w14:paraId="0A1313E4" w14:textId="77777777" w:rsidR="00031777" w:rsidRDefault="00031777"/>
          <w:p w14:paraId="1DE8726C" w14:textId="77777777" w:rsidR="00E35958" w:rsidRDefault="00E35958"/>
          <w:p w14:paraId="6364F938" w14:textId="77777777" w:rsidR="00E35958" w:rsidRDefault="00E35958"/>
          <w:p w14:paraId="2A609380" w14:textId="797A498F" w:rsidR="00E35958" w:rsidRDefault="00E35958"/>
        </w:tc>
        <w:tc>
          <w:tcPr>
            <w:tcW w:w="497" w:type="dxa"/>
          </w:tcPr>
          <w:p w14:paraId="31A2C6F8" w14:textId="77777777" w:rsidR="00031777" w:rsidRDefault="00031777"/>
        </w:tc>
      </w:tr>
      <w:tr w:rsidR="00E550E3" w14:paraId="4646F0E0" w14:textId="77777777" w:rsidTr="00546546">
        <w:tc>
          <w:tcPr>
            <w:tcW w:w="630" w:type="dxa"/>
          </w:tcPr>
          <w:p w14:paraId="25AD6FB6" w14:textId="744D4BE5" w:rsidR="00E550E3" w:rsidRDefault="00E550E3">
            <w:r>
              <w:t>Q4</w:t>
            </w:r>
          </w:p>
        </w:tc>
        <w:tc>
          <w:tcPr>
            <w:tcW w:w="5035" w:type="dxa"/>
          </w:tcPr>
          <w:p w14:paraId="09A354D7" w14:textId="6364E2A7" w:rsidR="00E550E3" w:rsidRDefault="00E550E3">
            <w:r>
              <w:t>Donner un argument permettant d</w:t>
            </w:r>
            <w:r w:rsidR="00B06014">
              <w:t>’</w:t>
            </w:r>
            <w:proofErr w:type="spellStart"/>
            <w:r w:rsidR="00B06014">
              <w:t>arreter</w:t>
            </w:r>
            <w:proofErr w:type="spellEnd"/>
            <w:r w:rsidR="00B06014">
              <w:t xml:space="preserve"> l’ajout de la solution </w:t>
            </w:r>
            <w:proofErr w:type="gramStart"/>
            <w:r w:rsidR="00B06014">
              <w:t xml:space="preserve">titrante </w:t>
            </w:r>
            <w:r>
              <w:t xml:space="preserve"> </w:t>
            </w:r>
            <w:r w:rsidR="00B06014">
              <w:t>pour</w:t>
            </w:r>
            <w:proofErr w:type="gramEnd"/>
            <w:r w:rsidR="00B06014">
              <w:t xml:space="preserve">  un </w:t>
            </w:r>
            <w:r>
              <w:t xml:space="preserve"> dosage acide base </w:t>
            </w:r>
            <w:r w:rsidR="00B06014">
              <w:t xml:space="preserve">et si </w:t>
            </w:r>
            <w:r>
              <w:t xml:space="preserve">on dispose de la courbe pH ( V) . </w:t>
            </w:r>
          </w:p>
        </w:tc>
        <w:tc>
          <w:tcPr>
            <w:tcW w:w="4294" w:type="dxa"/>
          </w:tcPr>
          <w:p w14:paraId="59FA66AA" w14:textId="77777777" w:rsidR="00E550E3" w:rsidRDefault="00E550E3"/>
        </w:tc>
        <w:tc>
          <w:tcPr>
            <w:tcW w:w="497" w:type="dxa"/>
          </w:tcPr>
          <w:p w14:paraId="76416830" w14:textId="77777777" w:rsidR="00E550E3" w:rsidRDefault="00E550E3"/>
        </w:tc>
      </w:tr>
      <w:tr w:rsidR="00031777" w14:paraId="22BEA7AD" w14:textId="4CB7EFD6" w:rsidTr="00546546">
        <w:tc>
          <w:tcPr>
            <w:tcW w:w="630" w:type="dxa"/>
          </w:tcPr>
          <w:p w14:paraId="33120E75" w14:textId="3B20B42A" w:rsidR="00031777" w:rsidRDefault="00031777">
            <w:r>
              <w:t>Q</w:t>
            </w:r>
            <w:r w:rsidR="00B06014">
              <w:t>5</w:t>
            </w:r>
          </w:p>
        </w:tc>
        <w:tc>
          <w:tcPr>
            <w:tcW w:w="5035" w:type="dxa"/>
          </w:tcPr>
          <w:p w14:paraId="527D688B" w14:textId="77777777" w:rsidR="00031777" w:rsidRDefault="00E35958">
            <w:r>
              <w:t xml:space="preserve">La glycine est un acide </w:t>
            </w:r>
            <w:r w:rsidRPr="00E35958">
              <w:rPr>
                <w:rFonts w:ascii="Symbol" w:hAnsi="Symbol"/>
              </w:rPr>
              <w:t>a</w:t>
            </w:r>
            <w:r>
              <w:t>-aminé de formule H</w:t>
            </w:r>
            <w:r>
              <w:rPr>
                <w:vertAlign w:val="subscript"/>
              </w:rPr>
              <w:t>2</w:t>
            </w:r>
            <w:r>
              <w:t>N-CH</w:t>
            </w:r>
            <w:r>
              <w:rPr>
                <w:vertAlign w:val="subscript"/>
              </w:rPr>
              <w:t>2</w:t>
            </w:r>
            <w:r>
              <w:t>-</w:t>
            </w:r>
            <w:proofErr w:type="gramStart"/>
            <w:r>
              <w:t>COOH ,</w:t>
            </w:r>
            <w:proofErr w:type="gramEnd"/>
            <w:r>
              <w:t xml:space="preserve"> que l’on notera GH . </w:t>
            </w:r>
          </w:p>
          <w:p w14:paraId="76AEA99E" w14:textId="27987B65" w:rsidR="00E35958" w:rsidRPr="00E35958" w:rsidRDefault="00E35958">
            <w:r>
              <w:t xml:space="preserve">On lui associe en solution aqueuse 2 </w:t>
            </w:r>
            <w:proofErr w:type="spellStart"/>
            <w:r>
              <w:t>pKa</w:t>
            </w:r>
            <w:proofErr w:type="spellEnd"/>
            <w:r>
              <w:t> : 2,4 et 9,</w:t>
            </w:r>
            <w:proofErr w:type="gramStart"/>
            <w:r>
              <w:t>7 .</w:t>
            </w:r>
            <w:proofErr w:type="gramEnd"/>
            <w:r>
              <w:t xml:space="preserve"> Ecrire l’équation bilan de la réaction prépondérante d’une solution aqueuse de glycine et évaluer sa constante </w:t>
            </w:r>
            <w:proofErr w:type="gramStart"/>
            <w:r>
              <w:t>d’équilibre .</w:t>
            </w:r>
            <w:proofErr w:type="gramEnd"/>
            <w:r>
              <w:t xml:space="preserve"> </w:t>
            </w:r>
          </w:p>
        </w:tc>
        <w:tc>
          <w:tcPr>
            <w:tcW w:w="4294" w:type="dxa"/>
          </w:tcPr>
          <w:p w14:paraId="25AE1740" w14:textId="77777777" w:rsidR="00031777" w:rsidRDefault="00031777"/>
        </w:tc>
        <w:tc>
          <w:tcPr>
            <w:tcW w:w="497" w:type="dxa"/>
          </w:tcPr>
          <w:p w14:paraId="4778B31E" w14:textId="77777777" w:rsidR="00031777" w:rsidRDefault="00031777"/>
        </w:tc>
      </w:tr>
      <w:tr w:rsidR="00031777" w14:paraId="1B6DED82" w14:textId="7C7C5F96" w:rsidTr="00546546">
        <w:tc>
          <w:tcPr>
            <w:tcW w:w="630" w:type="dxa"/>
          </w:tcPr>
          <w:p w14:paraId="56E21D43" w14:textId="267EB0F9" w:rsidR="00031777" w:rsidRDefault="00031777">
            <w:r>
              <w:t>Q</w:t>
            </w:r>
            <w:r w:rsidR="00B06014">
              <w:t>6</w:t>
            </w:r>
          </w:p>
        </w:tc>
        <w:tc>
          <w:tcPr>
            <w:tcW w:w="5035" w:type="dxa"/>
          </w:tcPr>
          <w:p w14:paraId="07335EE2" w14:textId="59E2F47C" w:rsidR="00031777" w:rsidRDefault="00E550E3" w:rsidP="00E35958">
            <w:r>
              <w:t xml:space="preserve">Définir une solution </w:t>
            </w:r>
            <w:proofErr w:type="gramStart"/>
            <w:r>
              <w:t xml:space="preserve">tampon </w:t>
            </w:r>
            <w:r w:rsidR="00E35958">
              <w:t>.</w:t>
            </w:r>
            <w:proofErr w:type="gramEnd"/>
            <w:r w:rsidR="00E35958">
              <w:t xml:space="preserve"> </w:t>
            </w:r>
          </w:p>
        </w:tc>
        <w:tc>
          <w:tcPr>
            <w:tcW w:w="4294" w:type="dxa"/>
          </w:tcPr>
          <w:p w14:paraId="1774E90F" w14:textId="77777777" w:rsidR="00031777" w:rsidRDefault="00031777"/>
          <w:p w14:paraId="38435D51" w14:textId="77777777" w:rsidR="00E550E3" w:rsidRDefault="00E550E3"/>
          <w:p w14:paraId="58CBBF12" w14:textId="7B1D90A7" w:rsidR="00E550E3" w:rsidRDefault="00E550E3"/>
        </w:tc>
        <w:tc>
          <w:tcPr>
            <w:tcW w:w="497" w:type="dxa"/>
          </w:tcPr>
          <w:p w14:paraId="4A6BE797" w14:textId="77777777" w:rsidR="00031777" w:rsidRDefault="00031777"/>
        </w:tc>
      </w:tr>
      <w:tr w:rsidR="00031777" w14:paraId="506C74DB" w14:textId="4D41D443" w:rsidTr="00546546">
        <w:tc>
          <w:tcPr>
            <w:tcW w:w="630" w:type="dxa"/>
          </w:tcPr>
          <w:p w14:paraId="7B79AD17" w14:textId="7A4CE875" w:rsidR="00031777" w:rsidRDefault="00031777">
            <w:r>
              <w:t>Q</w:t>
            </w:r>
            <w:r w:rsidR="00B06014">
              <w:t>7</w:t>
            </w:r>
          </w:p>
        </w:tc>
        <w:tc>
          <w:tcPr>
            <w:tcW w:w="5035" w:type="dxa"/>
          </w:tcPr>
          <w:p w14:paraId="4F4FBBAA" w14:textId="7F000687" w:rsidR="00031777" w:rsidRDefault="00E550E3">
            <w:r>
              <w:t xml:space="preserve">Proposer une méthode </w:t>
            </w:r>
            <w:proofErr w:type="gramStart"/>
            <w:r>
              <w:t>pour  préparer</w:t>
            </w:r>
            <w:proofErr w:type="gramEnd"/>
            <w:r>
              <w:t xml:space="preserve"> une solution tampon pH = 4,8 .</w:t>
            </w:r>
          </w:p>
        </w:tc>
        <w:tc>
          <w:tcPr>
            <w:tcW w:w="4294" w:type="dxa"/>
          </w:tcPr>
          <w:p w14:paraId="70E1D76E" w14:textId="77777777" w:rsidR="00031777" w:rsidRDefault="00031777"/>
          <w:p w14:paraId="17F69DC5" w14:textId="77777777" w:rsidR="00E550E3" w:rsidRDefault="00E550E3"/>
          <w:p w14:paraId="40DF4525" w14:textId="23128149" w:rsidR="00E550E3" w:rsidRDefault="00E550E3"/>
        </w:tc>
        <w:tc>
          <w:tcPr>
            <w:tcW w:w="497" w:type="dxa"/>
          </w:tcPr>
          <w:p w14:paraId="7178DD29" w14:textId="77777777" w:rsidR="00031777" w:rsidRDefault="00031777"/>
        </w:tc>
      </w:tr>
    </w:tbl>
    <w:p w14:paraId="77D0EA48" w14:textId="61CD0FE0" w:rsidR="004D1EE8" w:rsidRPr="00BE22FB" w:rsidRDefault="004D1EE8" w:rsidP="004D1EE8">
      <w:pPr>
        <w:autoSpaceDE w:val="0"/>
        <w:autoSpaceDN w:val="0"/>
        <w:adjustRightInd w:val="0"/>
        <w:spacing w:before="120"/>
        <w:ind w:right="-2"/>
      </w:pPr>
    </w:p>
    <w:p w14:paraId="24B8D042" w14:textId="37006312" w:rsidR="004D1EE8" w:rsidRPr="00BE22FB" w:rsidRDefault="00546546" w:rsidP="004D1EE8">
      <w:pPr>
        <w:autoSpaceDE w:val="0"/>
        <w:autoSpaceDN w:val="0"/>
        <w:adjustRightInd w:val="0"/>
        <w:spacing w:before="120"/>
        <w:ind w:right="-2"/>
        <w:rPr>
          <w:i/>
          <w:iCs/>
        </w:rPr>
      </w:pPr>
      <w:r>
        <w:rPr>
          <w:i/>
          <w:iCs/>
        </w:rPr>
        <w:t>T</w:t>
      </w:r>
      <w:r w:rsidR="004D1EE8" w:rsidRPr="00BE22FB">
        <w:rPr>
          <w:i/>
          <w:iCs/>
        </w:rPr>
        <w:t>itrage d'une solution aqueuse d'acide oxalique par une solution aqueuse de soude</w:t>
      </w:r>
    </w:p>
    <w:p w14:paraId="611A3071" w14:textId="77777777" w:rsidR="004D1EE8" w:rsidRDefault="004D1EE8" w:rsidP="004D1EE8">
      <w:pPr>
        <w:autoSpaceDE w:val="0"/>
        <w:autoSpaceDN w:val="0"/>
        <w:adjustRightInd w:val="0"/>
        <w:ind w:right="-2"/>
      </w:pPr>
      <w:r w:rsidRPr="00BE22FB">
        <w:t xml:space="preserve">Dans un bécher de </w:t>
      </w:r>
      <w:r>
        <w:t xml:space="preserve">250 </w:t>
      </w:r>
      <w:proofErr w:type="spellStart"/>
      <w:r>
        <w:t>mL</w:t>
      </w:r>
      <w:proofErr w:type="spellEnd"/>
      <w:r>
        <w:t xml:space="preserve">, </w:t>
      </w:r>
      <w:r w:rsidRPr="00BE22FB">
        <w:t xml:space="preserve">on introduit </w:t>
      </w:r>
      <w:r w:rsidRPr="00FC0F96">
        <w:rPr>
          <w:i/>
        </w:rPr>
        <w:t>V</w:t>
      </w:r>
      <w:r w:rsidRPr="00FC0F96">
        <w:rPr>
          <w:i/>
          <w:vertAlign w:val="subscript"/>
        </w:rPr>
        <w:t>A</w:t>
      </w:r>
      <w:r>
        <w:t xml:space="preserve"> = 10,0 </w:t>
      </w:r>
      <w:proofErr w:type="spellStart"/>
      <w:r>
        <w:t>mL</w:t>
      </w:r>
      <w:proofErr w:type="spellEnd"/>
      <w:r w:rsidRPr="00BE22FB">
        <w:t xml:space="preserve"> d'une solution aqueuse</w:t>
      </w:r>
      <w:r>
        <w:t xml:space="preserve"> (</w:t>
      </w:r>
      <w:r w:rsidRPr="00FC0F96">
        <w:rPr>
          <w:i/>
        </w:rPr>
        <w:t>A</w:t>
      </w:r>
      <w:r>
        <w:t>)</w:t>
      </w:r>
      <w:r w:rsidRPr="00BE22FB">
        <w:t xml:space="preserve"> d'acide oxalique (de concentration molaire</w:t>
      </w:r>
      <w:r>
        <w:t xml:space="preserve"> </w:t>
      </w:r>
      <w:r w:rsidRPr="00FC0F96">
        <w:rPr>
          <w:i/>
        </w:rPr>
        <w:t>C</w:t>
      </w:r>
      <w:r w:rsidRPr="00FC0F96">
        <w:rPr>
          <w:i/>
          <w:vertAlign w:val="subscript"/>
        </w:rPr>
        <w:t>A</w:t>
      </w:r>
      <w:r w:rsidRPr="00BE22FB">
        <w:t xml:space="preserve"> inconnue), puis </w:t>
      </w:r>
      <w:r>
        <w:t xml:space="preserve">90 </w:t>
      </w:r>
      <w:proofErr w:type="spellStart"/>
      <w:r>
        <w:t>mL</w:t>
      </w:r>
      <w:proofErr w:type="spellEnd"/>
      <w:r w:rsidRPr="00BE22FB">
        <w:t xml:space="preserve"> d'eau distillée afin d’immerger les électrodes. On procède au titrage par une solution aqueuse de soude à </w:t>
      </w:r>
      <w:r>
        <w:t>2,00.10</w:t>
      </w:r>
      <w:r>
        <w:rPr>
          <w:vertAlign w:val="superscript"/>
        </w:rPr>
        <w:t>-2</w:t>
      </w:r>
      <w:r>
        <w:t xml:space="preserve"> </w:t>
      </w:r>
      <w:proofErr w:type="gramStart"/>
      <w:r>
        <w:t>mol.L</w:t>
      </w:r>
      <w:proofErr w:type="gramEnd"/>
      <w:r>
        <w:rPr>
          <w:vertAlign w:val="superscript"/>
        </w:rPr>
        <w:t>-1</w:t>
      </w:r>
      <w:r w:rsidRPr="00BE22FB">
        <w:t xml:space="preserve">. Soit </w:t>
      </w:r>
      <w:r w:rsidRPr="00FC0F96">
        <w:rPr>
          <w:i/>
        </w:rPr>
        <w:t>V</w:t>
      </w:r>
      <w:r>
        <w:t xml:space="preserve"> </w:t>
      </w:r>
      <w:r w:rsidRPr="00BE22FB">
        <w:t xml:space="preserve">le volume de soude versée. </w:t>
      </w:r>
    </w:p>
    <w:p w14:paraId="44C14F4B" w14:textId="20221FA0" w:rsidR="004D1EE8" w:rsidRDefault="004D1EE8" w:rsidP="004D1EE8">
      <w:pPr>
        <w:autoSpaceDE w:val="0"/>
        <w:autoSpaceDN w:val="0"/>
        <w:adjustRightInd w:val="0"/>
        <w:ind w:right="5101"/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42263" wp14:editId="3127BA25">
                <wp:simplePos x="0" y="0"/>
                <wp:positionH relativeFrom="column">
                  <wp:posOffset>4119053</wp:posOffset>
                </wp:positionH>
                <wp:positionV relativeFrom="paragraph">
                  <wp:posOffset>5597</wp:posOffset>
                </wp:positionV>
                <wp:extent cx="2564573" cy="2441235"/>
                <wp:effectExtent l="0" t="0" r="762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573" cy="244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7FB91" w14:textId="77777777" w:rsidR="004D1EE8" w:rsidRPr="009873D4" w:rsidRDefault="004D1EE8" w:rsidP="004D1EE8">
                            <w:pPr>
                              <w:jc w:val="center"/>
                            </w:pPr>
                            <w:r w:rsidRPr="009873D4">
                              <w:t xml:space="preserve">Figure 1 : courbe </w:t>
                            </w:r>
                            <w:r w:rsidRPr="0084495F">
                              <w:rPr>
                                <w:i/>
                              </w:rPr>
                              <w:t>pH</w:t>
                            </w:r>
                            <w:r w:rsidRPr="009873D4">
                              <w:t xml:space="preserve"> = </w:t>
                            </w:r>
                            <w:r w:rsidRPr="0084495F">
                              <w:rPr>
                                <w:i/>
                              </w:rPr>
                              <w:t>f</w:t>
                            </w:r>
                            <w:r w:rsidRPr="009873D4">
                              <w:t>(</w:t>
                            </w:r>
                            <w:r w:rsidRPr="0084495F">
                              <w:rPr>
                                <w:i/>
                              </w:rPr>
                              <w:t>V</w:t>
                            </w:r>
                            <w:r w:rsidRPr="009873D4">
                              <w:t>)</w:t>
                            </w:r>
                          </w:p>
                          <w:p w14:paraId="15DACE15" w14:textId="77777777" w:rsidR="004D1EE8" w:rsidRPr="009873D4" w:rsidRDefault="004D1EE8" w:rsidP="004D1EE8">
                            <w:pPr>
                              <w:jc w:val="center"/>
                            </w:pPr>
                            <w:proofErr w:type="gramStart"/>
                            <w:r w:rsidRPr="009873D4">
                              <w:t>pour</w:t>
                            </w:r>
                            <w:proofErr w:type="gramEnd"/>
                            <w:r w:rsidRPr="009873D4">
                              <w:t xml:space="preserve"> le titrage de l’acide oxalique</w:t>
                            </w:r>
                          </w:p>
                          <w:p w14:paraId="0620BE65" w14:textId="3F9E8DA5" w:rsidR="004D1EE8" w:rsidRDefault="00546546" w:rsidP="004D1E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CCF2E" wp14:editId="4094E231">
                                  <wp:extent cx="2116455" cy="1985645"/>
                                  <wp:effectExtent l="0" t="0" r="0" b="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455" cy="198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2263" id="Zone de texte 3" o:spid="_x0000_s1027" type="#_x0000_t202" style="position:absolute;margin-left:324.35pt;margin-top:.45pt;width:201.95pt;height:1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" stroked="f">
                <v:textbox>
                  <w:txbxContent>
                    <w:p w14:paraId="41D7FB91" w14:textId="77777777" w:rsidR="004D1EE8" w:rsidRPr="009873D4" w:rsidRDefault="004D1EE8" w:rsidP="004D1EE8">
                      <w:pPr>
                        <w:jc w:val="center"/>
                      </w:pPr>
                      <w:r w:rsidRPr="009873D4">
                        <w:t xml:space="preserve">Figure 1 : courbe </w:t>
                      </w:r>
                      <w:r w:rsidRPr="0084495F">
                        <w:rPr>
                          <w:i/>
                        </w:rPr>
                        <w:t>pH</w:t>
                      </w:r>
                      <w:r w:rsidRPr="009873D4">
                        <w:t xml:space="preserve"> = </w:t>
                      </w:r>
                      <w:r w:rsidRPr="0084495F">
                        <w:rPr>
                          <w:i/>
                        </w:rPr>
                        <w:t>f</w:t>
                      </w:r>
                      <w:r w:rsidRPr="009873D4">
                        <w:t>(</w:t>
                      </w:r>
                      <w:r w:rsidRPr="0084495F">
                        <w:rPr>
                          <w:i/>
                        </w:rPr>
                        <w:t>V</w:t>
                      </w:r>
                      <w:r w:rsidRPr="009873D4">
                        <w:t>)</w:t>
                      </w:r>
                    </w:p>
                    <w:p w14:paraId="15DACE15" w14:textId="77777777" w:rsidR="004D1EE8" w:rsidRPr="009873D4" w:rsidRDefault="004D1EE8" w:rsidP="004D1EE8">
                      <w:pPr>
                        <w:jc w:val="center"/>
                      </w:pPr>
                      <w:proofErr w:type="gramStart"/>
                      <w:r w:rsidRPr="009873D4">
                        <w:t>pour</w:t>
                      </w:r>
                      <w:proofErr w:type="gramEnd"/>
                      <w:r w:rsidRPr="009873D4">
                        <w:t xml:space="preserve"> le titrage de l’acide oxalique</w:t>
                      </w:r>
                    </w:p>
                    <w:p w14:paraId="0620BE65" w14:textId="3F9E8DA5" w:rsidR="004D1EE8" w:rsidRDefault="00546546" w:rsidP="004D1EE8">
                      <w:r>
                        <w:rPr>
                          <w:noProof/>
                        </w:rPr>
                        <w:drawing>
                          <wp:inline distT="0" distB="0" distL="0" distR="0" wp14:anchorId="40ACCF2E" wp14:editId="4094E231">
                            <wp:extent cx="2116455" cy="1985645"/>
                            <wp:effectExtent l="0" t="0" r="0" b="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6455" cy="198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0D35EB" w14:textId="3F3526A7" w:rsidR="004D1EE8" w:rsidRDefault="004D1EE8" w:rsidP="004D1EE8">
      <w:pPr>
        <w:autoSpaceDE w:val="0"/>
        <w:autoSpaceDN w:val="0"/>
        <w:adjustRightInd w:val="0"/>
        <w:ind w:right="4959"/>
      </w:pPr>
      <w:r w:rsidRPr="00BE22FB">
        <w:t>La figure 1 donne l'allure de la courbe</w:t>
      </w:r>
      <w:r>
        <w:t xml:space="preserve"> </w:t>
      </w:r>
      <w:r w:rsidRPr="00FC0F96">
        <w:rPr>
          <w:i/>
        </w:rPr>
        <w:t>pH</w:t>
      </w:r>
      <w:r>
        <w:t xml:space="preserve"> = </w:t>
      </w:r>
      <w:r w:rsidRPr="00FC0F96">
        <w:rPr>
          <w:i/>
        </w:rPr>
        <w:t>f</w:t>
      </w:r>
      <w:r>
        <w:t>(</w:t>
      </w:r>
      <w:r w:rsidRPr="00FC0F96">
        <w:rPr>
          <w:i/>
        </w:rPr>
        <w:t>V</w:t>
      </w:r>
      <w:r>
        <w:t>)</w:t>
      </w:r>
      <w:r w:rsidRPr="00BE22FB">
        <w:t xml:space="preserve"> obtenue.</w:t>
      </w:r>
      <w:r>
        <w:t xml:space="preserve"> </w:t>
      </w:r>
      <w:r w:rsidRPr="00BE22FB">
        <w:t>Le saut de</w:t>
      </w:r>
      <w:r>
        <w:t xml:space="preserve"> </w:t>
      </w:r>
      <w:r w:rsidRPr="00FC0F96">
        <w:rPr>
          <w:i/>
        </w:rPr>
        <w:t>pH</w:t>
      </w:r>
      <w:r w:rsidRPr="00BE22FB">
        <w:t xml:space="preserve"> est repéré pour un volume versé </w:t>
      </w:r>
      <w:r w:rsidRPr="00FC0F96">
        <w:rPr>
          <w:i/>
        </w:rPr>
        <w:t>V</w:t>
      </w:r>
      <w:r>
        <w:t xml:space="preserve"> = 9,7 </w:t>
      </w:r>
      <w:proofErr w:type="spellStart"/>
      <w:r>
        <w:t>mL</w:t>
      </w:r>
      <w:proofErr w:type="spellEnd"/>
      <w:r w:rsidRPr="00BE22FB">
        <w:t>.</w:t>
      </w:r>
    </w:p>
    <w:p w14:paraId="4C33E232" w14:textId="77777777" w:rsidR="00546546" w:rsidRPr="002C548C" w:rsidRDefault="00546546" w:rsidP="00546546">
      <w:pPr>
        <w:autoSpaceDE w:val="0"/>
        <w:autoSpaceDN w:val="0"/>
        <w:adjustRightInd w:val="0"/>
      </w:pPr>
      <w:r w:rsidRPr="00BE22FB">
        <w:t>L'acide oxalique est un diacide</w:t>
      </w:r>
      <w:r>
        <w:t xml:space="preserve"> : </w:t>
      </w:r>
      <w:r w:rsidRPr="00A171F2">
        <w:rPr>
          <w:i/>
        </w:rPr>
        <w:t>p</w:t>
      </w:r>
      <w:r w:rsidRPr="002C548C">
        <w:rPr>
          <w:i/>
        </w:rPr>
        <w:t>K</w:t>
      </w:r>
      <w:r>
        <w:rPr>
          <w:i/>
          <w:vertAlign w:val="subscript"/>
        </w:rPr>
        <w:t>a</w:t>
      </w:r>
      <w:r>
        <w:rPr>
          <w:vertAlign w:val="subscript"/>
        </w:rPr>
        <w:t>1</w:t>
      </w:r>
      <w:r>
        <w:t> = 1,2</w:t>
      </w:r>
      <w:r w:rsidRPr="002C548C">
        <w:t>,</w:t>
      </w:r>
      <w:r>
        <w:t xml:space="preserve"> </w:t>
      </w:r>
      <w:r w:rsidRPr="00A171F2">
        <w:rPr>
          <w:i/>
        </w:rPr>
        <w:t>p</w:t>
      </w:r>
      <w:r w:rsidRPr="002C548C">
        <w:rPr>
          <w:i/>
        </w:rPr>
        <w:t>K</w:t>
      </w:r>
      <w:r>
        <w:rPr>
          <w:i/>
          <w:vertAlign w:val="subscript"/>
        </w:rPr>
        <w:t>a</w:t>
      </w:r>
      <w:r>
        <w:rPr>
          <w:vertAlign w:val="subscript"/>
        </w:rPr>
        <w:t>2</w:t>
      </w:r>
      <w:r>
        <w:t> = 4,2</w:t>
      </w:r>
    </w:p>
    <w:p w14:paraId="75189C5F" w14:textId="77777777" w:rsidR="00546546" w:rsidRPr="00BE22FB" w:rsidRDefault="00546546" w:rsidP="004D1EE8">
      <w:pPr>
        <w:autoSpaceDE w:val="0"/>
        <w:autoSpaceDN w:val="0"/>
        <w:adjustRightInd w:val="0"/>
        <w:ind w:right="4959"/>
      </w:pPr>
    </w:p>
    <w:p w14:paraId="64DA3164" w14:textId="15EEDD0F" w:rsidR="004D1EE8" w:rsidRPr="00BE22FB" w:rsidRDefault="00546546" w:rsidP="004D1EE8">
      <w:pPr>
        <w:autoSpaceDE w:val="0"/>
        <w:autoSpaceDN w:val="0"/>
        <w:adjustRightInd w:val="0"/>
        <w:spacing w:before="120"/>
        <w:ind w:right="4959"/>
      </w:pPr>
      <w:r w:rsidRPr="00546546">
        <w:rPr>
          <w:b/>
          <w:bCs/>
        </w:rPr>
        <w:t>Q8</w:t>
      </w:r>
      <w:r>
        <w:t>.</w:t>
      </w:r>
      <w:r w:rsidR="004D1EE8" w:rsidRPr="00BE22FB">
        <w:t xml:space="preserve"> Déterminer la valeur de la concentration molaire</w:t>
      </w:r>
      <w:r w:rsidR="004D1EE8">
        <w:t xml:space="preserve"> </w:t>
      </w:r>
      <w:r w:rsidR="004D1EE8" w:rsidRPr="00FC0F96">
        <w:rPr>
          <w:i/>
        </w:rPr>
        <w:t>C</w:t>
      </w:r>
      <w:r w:rsidR="004D1EE8" w:rsidRPr="00FC0F96">
        <w:rPr>
          <w:i/>
          <w:vertAlign w:val="subscript"/>
        </w:rPr>
        <w:t>A</w:t>
      </w:r>
      <w:r w:rsidR="004D1EE8" w:rsidRPr="00BE22FB">
        <w:t xml:space="preserve"> de la solution</w:t>
      </w:r>
      <w:r w:rsidR="004D1EE8">
        <w:t xml:space="preserve"> (</w:t>
      </w:r>
      <w:r w:rsidR="004D1EE8" w:rsidRPr="00FC0F96">
        <w:rPr>
          <w:i/>
        </w:rPr>
        <w:t>A</w:t>
      </w:r>
      <w:r w:rsidR="004D1EE8">
        <w:t>)</w:t>
      </w:r>
      <w:r w:rsidR="004D1EE8" w:rsidRPr="00BE22FB">
        <w:t xml:space="preserve"> d’acide oxalique.</w:t>
      </w:r>
    </w:p>
    <w:p w14:paraId="1A99A2A0" w14:textId="1300A221" w:rsidR="00546546" w:rsidRDefault="00546546" w:rsidP="004D1EE8">
      <w:pPr>
        <w:autoSpaceDE w:val="0"/>
        <w:autoSpaceDN w:val="0"/>
        <w:adjustRightInd w:val="0"/>
        <w:spacing w:before="120"/>
        <w:ind w:right="4959"/>
        <w:rPr>
          <w:noProof/>
        </w:rPr>
      </w:pPr>
      <w:r w:rsidRPr="00546546">
        <w:rPr>
          <w:b/>
          <w:bCs/>
        </w:rPr>
        <w:t>Q9</w:t>
      </w:r>
      <w:r>
        <w:t>.</w:t>
      </w:r>
      <w:r w:rsidR="004D1EE8" w:rsidRPr="00BE22FB">
        <w:t xml:space="preserve"> Vérifier, à l'aide d'un calcul simple, la valeur du</w:t>
      </w:r>
      <w:r w:rsidR="004D1EE8">
        <w:t xml:space="preserve"> </w:t>
      </w:r>
      <w:r w:rsidR="004D1EE8" w:rsidRPr="00FC0F96">
        <w:rPr>
          <w:i/>
        </w:rPr>
        <w:t>pH</w:t>
      </w:r>
      <w:r w:rsidR="004D1EE8" w:rsidRPr="00BE22FB">
        <w:t xml:space="preserve"> initial (à</w:t>
      </w:r>
      <w:r w:rsidR="004D1EE8">
        <w:t xml:space="preserve"> 0,1</w:t>
      </w:r>
      <w:r w:rsidR="004D1EE8" w:rsidRPr="00BE22FB">
        <w:t xml:space="preserve"> unité près).</w:t>
      </w:r>
      <w:r w:rsidRPr="00546546">
        <w:rPr>
          <w:noProof/>
        </w:rPr>
        <w:t xml:space="preserve"> </w:t>
      </w:r>
    </w:p>
    <w:p w14:paraId="6BC1CB29" w14:textId="03B38FA0" w:rsidR="004D1EE8" w:rsidRPr="00BE22FB" w:rsidRDefault="00546546" w:rsidP="004D1EE8">
      <w:pPr>
        <w:autoSpaceDE w:val="0"/>
        <w:autoSpaceDN w:val="0"/>
        <w:adjustRightInd w:val="0"/>
        <w:spacing w:before="120"/>
        <w:ind w:right="4959"/>
      </w:pPr>
      <w:r w:rsidRPr="00546546">
        <w:rPr>
          <w:b/>
          <w:bCs/>
        </w:rPr>
        <w:t>Q10</w:t>
      </w:r>
      <w:r>
        <w:t>.</w:t>
      </w:r>
      <w:r w:rsidR="004D1EE8" w:rsidRPr="00BE22FB">
        <w:t xml:space="preserve"> Comment peut-on expliquer l'absence de point </w:t>
      </w:r>
      <w:proofErr w:type="gramStart"/>
      <w:r w:rsidR="004D1EE8" w:rsidRPr="00BE22FB">
        <w:t>d'inflexion</w:t>
      </w:r>
      <w:proofErr w:type="gramEnd"/>
      <w:r w:rsidR="004D1EE8" w:rsidRPr="00BE22FB">
        <w:t xml:space="preserve"> en début de titrage ?</w:t>
      </w:r>
    </w:p>
    <w:p w14:paraId="049BCDD9" w14:textId="6998C352" w:rsidR="004D1EE8" w:rsidRPr="00546546" w:rsidRDefault="00546546" w:rsidP="004D1EE8">
      <w:pPr>
        <w:autoSpaceDE w:val="0"/>
        <w:autoSpaceDN w:val="0"/>
        <w:adjustRightInd w:val="0"/>
        <w:spacing w:before="120"/>
        <w:rPr>
          <w:i/>
          <w:iCs/>
        </w:rPr>
      </w:pPr>
      <w:r w:rsidRPr="00546546">
        <w:rPr>
          <w:i/>
          <w:iCs/>
        </w:rPr>
        <w:t>Merci de répondre au d</w:t>
      </w:r>
      <w:r>
        <w:rPr>
          <w:i/>
          <w:iCs/>
        </w:rPr>
        <w:t>os</w:t>
      </w:r>
      <w:r w:rsidRPr="00546546">
        <w:rPr>
          <w:i/>
          <w:iCs/>
        </w:rPr>
        <w:t xml:space="preserve"> pour les questions Q8 à Q10</w:t>
      </w:r>
    </w:p>
    <w:p w14:paraId="6E3EBC76" w14:textId="77777777" w:rsidR="004D1EE8" w:rsidRDefault="004D1EE8"/>
    <w:sectPr w:rsidR="004D1EE8" w:rsidSect="0003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D"/>
    <w:rsid w:val="00031777"/>
    <w:rsid w:val="00035DFC"/>
    <w:rsid w:val="00092568"/>
    <w:rsid w:val="0031541D"/>
    <w:rsid w:val="00392FB6"/>
    <w:rsid w:val="003A7131"/>
    <w:rsid w:val="004D1EE8"/>
    <w:rsid w:val="00546546"/>
    <w:rsid w:val="006D5145"/>
    <w:rsid w:val="007868E9"/>
    <w:rsid w:val="00B06014"/>
    <w:rsid w:val="00B74FD2"/>
    <w:rsid w:val="00C16101"/>
    <w:rsid w:val="00C86CEA"/>
    <w:rsid w:val="00D77CF8"/>
    <w:rsid w:val="00E35958"/>
    <w:rsid w:val="00E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64A0"/>
  <w15:chartTrackingRefBased/>
  <w15:docId w15:val="{6EE21FD2-22B3-4C02-BD96-731C448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D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table" w:styleId="Grilledutableau">
    <w:name w:val="Table Grid"/>
    <w:basedOn w:val="TableauNormal"/>
    <w:uiPriority w:val="59"/>
    <w:rsid w:val="0031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3</cp:revision>
  <dcterms:created xsi:type="dcterms:W3CDTF">2021-09-07T10:23:00Z</dcterms:created>
  <dcterms:modified xsi:type="dcterms:W3CDTF">2021-09-07T10:34:00Z</dcterms:modified>
</cp:coreProperties>
</file>