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A6CAC4" w14:textId="77777777" w:rsidR="0075147D" w:rsidRPr="00B573C6" w:rsidRDefault="0075147D" w:rsidP="0075147D">
      <w:pPr>
        <w:spacing w:beforeAutospacing="1" w:afterAutospacing="1"/>
        <w:textAlignment w:val="baseline"/>
        <w:outlineLvl w:val="0"/>
        <w:rPr>
          <w:rFonts w:ascii="Helvetica" w:eastAsia="Times New Roman" w:hAnsi="Helvetica" w:cs="Times New Roman"/>
          <w:b/>
          <w:bCs/>
          <w:color w:val="000000" w:themeColor="text1"/>
          <w:kern w:val="36"/>
          <w:sz w:val="22"/>
          <w:szCs w:val="22"/>
          <w:lang w:eastAsia="fr-FR"/>
        </w:rPr>
      </w:pPr>
      <w:r w:rsidRPr="00B573C6">
        <w:rPr>
          <w:rFonts w:ascii="Helvetica" w:eastAsia="Times New Roman" w:hAnsi="Helvetica" w:cs="Times New Roman"/>
          <w:b/>
          <w:bCs/>
          <w:color w:val="000000" w:themeColor="text1"/>
          <w:kern w:val="36"/>
          <w:sz w:val="22"/>
          <w:szCs w:val="22"/>
          <w:bdr w:val="none" w:sz="0" w:space="0" w:color="auto" w:frame="1"/>
          <w:lang w:eastAsia="fr-FR"/>
        </w:rPr>
        <w:t xml:space="preserve">The </w:t>
      </w:r>
      <w:proofErr w:type="spellStart"/>
      <w:r w:rsidRPr="00B573C6">
        <w:rPr>
          <w:rFonts w:ascii="Helvetica" w:eastAsia="Times New Roman" w:hAnsi="Helvetica" w:cs="Times New Roman"/>
          <w:b/>
          <w:bCs/>
          <w:color w:val="000000" w:themeColor="text1"/>
          <w:kern w:val="36"/>
          <w:sz w:val="22"/>
          <w:szCs w:val="22"/>
          <w:bdr w:val="none" w:sz="0" w:space="0" w:color="auto" w:frame="1"/>
          <w:lang w:eastAsia="fr-FR"/>
        </w:rPr>
        <w:t>Lessons</w:t>
      </w:r>
      <w:proofErr w:type="spellEnd"/>
      <w:r w:rsidRPr="00B573C6">
        <w:rPr>
          <w:rFonts w:ascii="Helvetica" w:eastAsia="Times New Roman" w:hAnsi="Helvetica" w:cs="Times New Roman"/>
          <w:b/>
          <w:bCs/>
          <w:color w:val="000000" w:themeColor="text1"/>
          <w:kern w:val="36"/>
          <w:sz w:val="22"/>
          <w:szCs w:val="22"/>
          <w:bdr w:val="none" w:sz="0" w:space="0" w:color="auto" w:frame="1"/>
          <w:lang w:eastAsia="fr-FR"/>
        </w:rPr>
        <w:t xml:space="preserve"> of #</w:t>
      </w:r>
      <w:proofErr w:type="spellStart"/>
      <w:r w:rsidRPr="00B573C6">
        <w:rPr>
          <w:rFonts w:ascii="Helvetica" w:eastAsia="Times New Roman" w:hAnsi="Helvetica" w:cs="Times New Roman"/>
          <w:b/>
          <w:bCs/>
          <w:color w:val="000000" w:themeColor="text1"/>
          <w:kern w:val="36"/>
          <w:sz w:val="22"/>
          <w:szCs w:val="22"/>
          <w:bdr w:val="none" w:sz="0" w:space="0" w:color="auto" w:frame="1"/>
          <w:lang w:eastAsia="fr-FR"/>
        </w:rPr>
        <w:t>MeToo’s</w:t>
      </w:r>
      <w:proofErr w:type="spellEnd"/>
      <w:r w:rsidRPr="00B573C6">
        <w:rPr>
          <w:rFonts w:ascii="Helvetica" w:eastAsia="Times New Roman" w:hAnsi="Helvetica" w:cs="Times New Roman"/>
          <w:b/>
          <w:bCs/>
          <w:color w:val="000000" w:themeColor="text1"/>
          <w:kern w:val="36"/>
          <w:sz w:val="22"/>
          <w:szCs w:val="22"/>
          <w:bdr w:val="none" w:sz="0" w:space="0" w:color="auto" w:frame="1"/>
          <w:lang w:eastAsia="fr-FR"/>
        </w:rPr>
        <w:t xml:space="preserve"> Monster</w:t>
      </w:r>
    </w:p>
    <w:p w14:paraId="47164235" w14:textId="77777777" w:rsidR="0075147D" w:rsidRPr="00B573C6" w:rsidRDefault="0075147D" w:rsidP="0075147D">
      <w:pPr>
        <w:widowControl w:val="0"/>
        <w:autoSpaceDE w:val="0"/>
        <w:autoSpaceDN w:val="0"/>
        <w:adjustRightInd w:val="0"/>
        <w:rPr>
          <w:rFonts w:ascii="Helvetica" w:hAnsi="Helvetica" w:cs="Times"/>
          <w:color w:val="000000" w:themeColor="text1"/>
          <w:sz w:val="20"/>
          <w:szCs w:val="20"/>
        </w:rPr>
      </w:pPr>
      <w:r w:rsidRPr="00B573C6">
        <w:rPr>
          <w:rFonts w:ascii="Helvetica" w:hAnsi="Helvetica" w:cs="Helvetica"/>
          <w:bCs/>
          <w:color w:val="000000" w:themeColor="text1"/>
          <w:sz w:val="20"/>
          <w:szCs w:val="20"/>
        </w:rPr>
        <w:t xml:space="preserve">By </w:t>
      </w:r>
      <w:hyperlink r:id="rId5" w:history="1">
        <w:r w:rsidRPr="00B573C6">
          <w:rPr>
            <w:rFonts w:ascii="Helvetica" w:hAnsi="Helvetica" w:cs="Helvetica"/>
            <w:bCs/>
            <w:color w:val="000000" w:themeColor="text1"/>
            <w:sz w:val="20"/>
            <w:szCs w:val="20"/>
          </w:rPr>
          <w:t xml:space="preserve">The Editorial </w:t>
        </w:r>
        <w:proofErr w:type="spellStart"/>
        <w:r w:rsidRPr="00B573C6">
          <w:rPr>
            <w:rFonts w:ascii="Helvetica" w:hAnsi="Helvetica" w:cs="Helvetica"/>
            <w:bCs/>
            <w:color w:val="000000" w:themeColor="text1"/>
            <w:sz w:val="20"/>
            <w:szCs w:val="20"/>
          </w:rPr>
          <w:t>Board</w:t>
        </w:r>
        <w:proofErr w:type="spellEnd"/>
      </w:hyperlink>
    </w:p>
    <w:p w14:paraId="06C2C693" w14:textId="67695C60" w:rsidR="0075147D" w:rsidRPr="00B573C6" w:rsidRDefault="0075147D" w:rsidP="0075147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Times"/>
          <w:color w:val="000000" w:themeColor="text1"/>
          <w:sz w:val="20"/>
          <w:szCs w:val="20"/>
        </w:rPr>
      </w:pPr>
      <w:proofErr w:type="spellStart"/>
      <w:r w:rsidRPr="00B573C6">
        <w:rPr>
          <w:rFonts w:ascii="Helvetica" w:hAnsi="Helvetica" w:cs="Helvetica"/>
          <w:color w:val="000000" w:themeColor="text1"/>
          <w:sz w:val="20"/>
          <w:szCs w:val="20"/>
        </w:rPr>
        <w:t>Feb</w:t>
      </w:r>
      <w:proofErr w:type="spellEnd"/>
      <w:r w:rsidRPr="00B573C6">
        <w:rPr>
          <w:rFonts w:ascii="Helvetica" w:hAnsi="Helvetica" w:cs="Helvetica"/>
          <w:color w:val="000000" w:themeColor="text1"/>
          <w:sz w:val="20"/>
          <w:szCs w:val="20"/>
        </w:rPr>
        <w:t>. 24, 2020</w:t>
      </w:r>
      <w:r w:rsidR="007908DC" w:rsidRPr="00B573C6">
        <w:rPr>
          <w:rFonts w:ascii="Helvetica" w:hAnsi="Helvetica" w:cs="Helvetica"/>
          <w:color w:val="000000" w:themeColor="text1"/>
          <w:sz w:val="20"/>
          <w:szCs w:val="20"/>
        </w:rPr>
        <w:t xml:space="preserve"> The Times</w:t>
      </w:r>
    </w:p>
    <w:p w14:paraId="79489D1C" w14:textId="0A7DDA86" w:rsidR="0075147D" w:rsidRPr="00B573C6" w:rsidRDefault="0075147D" w:rsidP="0075147D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rPr>
          <w:rFonts w:ascii="Helvetica" w:hAnsi="Helvetica" w:cs="Helvetica"/>
          <w:color w:val="000000" w:themeColor="text1"/>
          <w:sz w:val="34"/>
          <w:szCs w:val="34"/>
        </w:rPr>
      </w:pPr>
      <w:r w:rsidRPr="00B573C6">
        <w:rPr>
          <w:rFonts w:ascii="Helvetica" w:hAnsi="Helvetica" w:cs="Helvetica"/>
          <w:color w:val="000000" w:themeColor="text1"/>
          <w:kern w:val="1"/>
        </w:rPr>
        <w:tab/>
      </w:r>
      <w:r w:rsidRPr="00B573C6">
        <w:rPr>
          <w:rFonts w:ascii="Helvetica" w:hAnsi="Helvetica" w:cs="Helvetica"/>
          <w:color w:val="000000" w:themeColor="text1"/>
          <w:kern w:val="1"/>
        </w:rPr>
        <w:tab/>
      </w:r>
    </w:p>
    <w:p w14:paraId="62DDEA4B" w14:textId="77777777" w:rsidR="0075147D" w:rsidRPr="00B573C6" w:rsidRDefault="0075147D" w:rsidP="0075147D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2"/>
          <w:szCs w:val="22"/>
        </w:rPr>
      </w:pP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What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does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the hard-won, long-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overdue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conviction of Harvey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Weinstein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demonstrate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>?</w:t>
      </w:r>
      <w:proofErr w:type="gramEnd"/>
    </w:p>
    <w:p w14:paraId="76721AF5" w14:textId="77777777" w:rsidR="0075147D" w:rsidRPr="00B573C6" w:rsidRDefault="0075147D" w:rsidP="0075147D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2"/>
          <w:szCs w:val="22"/>
        </w:rPr>
      </w:pPr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It shows how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difficult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it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can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be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to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bring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abusers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to justice,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particularly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when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they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are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wealthy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and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powerful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. It shows how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much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the #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MeToo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movement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has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changed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American life. And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it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shows how far society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still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has to go.</w:t>
      </w:r>
    </w:p>
    <w:p w14:paraId="12810F6F" w14:textId="77777777" w:rsidR="0075147D" w:rsidRPr="00B573C6" w:rsidRDefault="0075147D" w:rsidP="0075147D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2"/>
          <w:szCs w:val="22"/>
        </w:rPr>
      </w:pPr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Mr.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Weinstein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was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hyperlink r:id="rId6" w:history="1">
        <w:proofErr w:type="spellStart"/>
        <w:r w:rsidRPr="00B573C6">
          <w:rPr>
            <w:rFonts w:ascii="Helvetica" w:hAnsi="Helvetica" w:cs="Helvetica"/>
            <w:color w:val="000000" w:themeColor="text1"/>
            <w:sz w:val="22"/>
            <w:szCs w:val="22"/>
          </w:rPr>
          <w:t>convicted</w:t>
        </w:r>
        <w:proofErr w:type="spellEnd"/>
        <w:r w:rsidRPr="00B573C6">
          <w:rPr>
            <w:rFonts w:ascii="Helvetica" w:hAnsi="Helvetica" w:cs="Helvetica"/>
            <w:color w:val="000000" w:themeColor="text1"/>
            <w:sz w:val="22"/>
            <w:szCs w:val="22"/>
          </w:rPr>
          <w:t xml:space="preserve"> on </w:t>
        </w:r>
        <w:proofErr w:type="spellStart"/>
        <w:r w:rsidRPr="00B573C6">
          <w:rPr>
            <w:rFonts w:ascii="Helvetica" w:hAnsi="Helvetica" w:cs="Helvetica"/>
            <w:color w:val="000000" w:themeColor="text1"/>
            <w:sz w:val="22"/>
            <w:szCs w:val="22"/>
          </w:rPr>
          <w:t>Monday</w:t>
        </w:r>
        <w:proofErr w:type="spellEnd"/>
      </w:hyperlink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of a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felony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sex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crime and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rape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in the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third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degree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but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was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acquitted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of the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most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serious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counts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against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him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,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predatory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sexual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assault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. He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is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headed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for at least five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years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in prison.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That’s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a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victory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for Mr.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Weinstein’s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victims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>.</w:t>
      </w:r>
    </w:p>
    <w:p w14:paraId="7C39D47C" w14:textId="0078E8A5" w:rsidR="0075147D" w:rsidRPr="00B573C6" w:rsidRDefault="0075147D" w:rsidP="0075147D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2"/>
          <w:szCs w:val="22"/>
        </w:rPr>
      </w:pPr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But the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Weinstein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case shows the obstacles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presented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by the American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legal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system to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successfully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prosecuting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abusers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. The case,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tried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in a Manhattan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courtroom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,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rested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on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testimony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from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just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six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women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out of the </w:t>
      </w:r>
      <w:hyperlink r:id="rId7" w:history="1">
        <w:r w:rsidRPr="00B573C6">
          <w:rPr>
            <w:rFonts w:ascii="Helvetica" w:hAnsi="Helvetica" w:cs="Helvetica"/>
            <w:color w:val="000000" w:themeColor="text1"/>
            <w:sz w:val="22"/>
            <w:szCs w:val="22"/>
          </w:rPr>
          <w:t xml:space="preserve">more </w:t>
        </w:r>
        <w:proofErr w:type="spellStart"/>
        <w:r w:rsidRPr="00B573C6">
          <w:rPr>
            <w:rFonts w:ascii="Helvetica" w:hAnsi="Helvetica" w:cs="Helvetica"/>
            <w:color w:val="000000" w:themeColor="text1"/>
            <w:sz w:val="22"/>
            <w:szCs w:val="22"/>
          </w:rPr>
          <w:t>than</w:t>
        </w:r>
        <w:proofErr w:type="spellEnd"/>
        <w:r w:rsidRPr="00B573C6">
          <w:rPr>
            <w:rFonts w:ascii="Helvetica" w:hAnsi="Helvetica" w:cs="Helvetica"/>
            <w:color w:val="000000" w:themeColor="text1"/>
            <w:sz w:val="22"/>
            <w:szCs w:val="22"/>
          </w:rPr>
          <w:t xml:space="preserve"> 90</w:t>
        </w:r>
      </w:hyperlink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who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have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accused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Mr.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Weinstein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of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sexual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misconduct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. (He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also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faces charges in Los Angeles of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raping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one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woman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and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groping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and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masturbating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in front of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another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.) It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took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decades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of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persistence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by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survivors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,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advocates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,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journalists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and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law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enforcement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to call Mr.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Weinstein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to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account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before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the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law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. In 2015, Cyrus Vance Jr., the Manhattan district attorney, </w:t>
      </w:r>
      <w:hyperlink r:id="rId8" w:history="1">
        <w:proofErr w:type="spellStart"/>
        <w:r w:rsidRPr="00B573C6">
          <w:rPr>
            <w:rFonts w:ascii="Helvetica" w:hAnsi="Helvetica" w:cs="Helvetica"/>
            <w:color w:val="000000" w:themeColor="text1"/>
            <w:sz w:val="22"/>
            <w:szCs w:val="22"/>
          </w:rPr>
          <w:t>declined</w:t>
        </w:r>
        <w:proofErr w:type="spellEnd"/>
        <w:r w:rsidRPr="00B573C6">
          <w:rPr>
            <w:rFonts w:ascii="Helvetica" w:hAnsi="Helvetica" w:cs="Helvetica"/>
            <w:color w:val="000000" w:themeColor="text1"/>
            <w:sz w:val="22"/>
            <w:szCs w:val="22"/>
          </w:rPr>
          <w:t xml:space="preserve"> to </w:t>
        </w:r>
        <w:proofErr w:type="spellStart"/>
        <w:r w:rsidRPr="00B573C6">
          <w:rPr>
            <w:rFonts w:ascii="Helvetica" w:hAnsi="Helvetica" w:cs="Helvetica"/>
            <w:color w:val="000000" w:themeColor="text1"/>
            <w:sz w:val="22"/>
            <w:szCs w:val="22"/>
          </w:rPr>
          <w:t>prosecute</w:t>
        </w:r>
        <w:proofErr w:type="spellEnd"/>
        <w:r w:rsidRPr="00B573C6">
          <w:rPr>
            <w:rFonts w:ascii="Helvetica" w:hAnsi="Helvetica" w:cs="Helvetica"/>
            <w:color w:val="000000" w:themeColor="text1"/>
            <w:sz w:val="22"/>
            <w:szCs w:val="22"/>
          </w:rPr>
          <w:t xml:space="preserve"> </w:t>
        </w:r>
        <w:proofErr w:type="spellStart"/>
        <w:r w:rsidRPr="00B573C6">
          <w:rPr>
            <w:rFonts w:ascii="Helvetica" w:hAnsi="Helvetica" w:cs="Helvetica"/>
            <w:color w:val="000000" w:themeColor="text1"/>
            <w:sz w:val="22"/>
            <w:szCs w:val="22"/>
          </w:rPr>
          <w:t>credible</w:t>
        </w:r>
        <w:proofErr w:type="spellEnd"/>
        <w:r w:rsidRPr="00B573C6">
          <w:rPr>
            <w:rFonts w:ascii="Helvetica" w:hAnsi="Helvetica" w:cs="Helvetica"/>
            <w:color w:val="000000" w:themeColor="text1"/>
            <w:sz w:val="22"/>
            <w:szCs w:val="22"/>
          </w:rPr>
          <w:t xml:space="preserve"> </w:t>
        </w:r>
        <w:proofErr w:type="spellStart"/>
        <w:r w:rsidRPr="00B573C6">
          <w:rPr>
            <w:rFonts w:ascii="Helvetica" w:hAnsi="Helvetica" w:cs="Helvetica"/>
            <w:color w:val="000000" w:themeColor="text1"/>
            <w:sz w:val="22"/>
            <w:szCs w:val="22"/>
          </w:rPr>
          <w:t>allegations</w:t>
        </w:r>
        <w:proofErr w:type="spellEnd"/>
      </w:hyperlink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against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Mr.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Weinstein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. Mr. Vance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acted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years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later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only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after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dozens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of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women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went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public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with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their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allegations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>.</w:t>
      </w:r>
    </w:p>
    <w:p w14:paraId="0D4E15ED" w14:textId="77777777" w:rsidR="0075147D" w:rsidRPr="00B573C6" w:rsidRDefault="0075147D" w:rsidP="0075147D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2"/>
          <w:szCs w:val="22"/>
        </w:rPr>
      </w:pPr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Mr.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Weinstein’s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prosecutors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were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able to break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through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a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barrier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common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to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many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assault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cases, a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lack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of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physical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or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other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corroborating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evidence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. And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they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also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overcame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another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,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even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more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fundamental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barrier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>:</w:t>
      </w:r>
      <w:proofErr w:type="gram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basic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mistrust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of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women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alleging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sexual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assault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>.</w:t>
      </w:r>
    </w:p>
    <w:p w14:paraId="69FBCA67" w14:textId="77777777" w:rsidR="0075147D" w:rsidRPr="00B573C6" w:rsidRDefault="0075147D" w:rsidP="0075147D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2"/>
          <w:szCs w:val="22"/>
        </w:rPr>
      </w:pP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Women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have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internalized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that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message of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mistrust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.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Despite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the far-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reaching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message of #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MeToo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, a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vast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majority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of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sexual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assault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victims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— </w:t>
      </w:r>
      <w:hyperlink r:id="rId9" w:history="1">
        <w:proofErr w:type="spellStart"/>
        <w:r w:rsidRPr="00B573C6">
          <w:rPr>
            <w:rFonts w:ascii="Helvetica" w:hAnsi="Helvetica" w:cs="Helvetica"/>
            <w:color w:val="000000" w:themeColor="text1"/>
            <w:sz w:val="22"/>
            <w:szCs w:val="22"/>
          </w:rPr>
          <w:t>estimated</w:t>
        </w:r>
        <w:proofErr w:type="spellEnd"/>
        <w:r w:rsidRPr="00B573C6">
          <w:rPr>
            <w:rFonts w:ascii="Helvetica" w:hAnsi="Helvetica" w:cs="Helvetica"/>
            <w:color w:val="000000" w:themeColor="text1"/>
            <w:sz w:val="22"/>
            <w:szCs w:val="22"/>
          </w:rPr>
          <w:t xml:space="preserve"> to </w:t>
        </w:r>
        <w:proofErr w:type="spellStart"/>
        <w:r w:rsidRPr="00B573C6">
          <w:rPr>
            <w:rFonts w:ascii="Helvetica" w:hAnsi="Helvetica" w:cs="Helvetica"/>
            <w:color w:val="000000" w:themeColor="text1"/>
            <w:sz w:val="22"/>
            <w:szCs w:val="22"/>
          </w:rPr>
          <w:t>be</w:t>
        </w:r>
        <w:proofErr w:type="spellEnd"/>
      </w:hyperlink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more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than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three-quarters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of </w:t>
      </w:r>
      <w:bookmarkStart w:id="0" w:name="_GoBack"/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them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—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never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report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their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attackers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to the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authorities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.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Many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have been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conditioned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to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feel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bookmarkEnd w:id="0"/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ashamed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, as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though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the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assault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was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their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fault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>;</w:t>
      </w:r>
      <w:proofErr w:type="gram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those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who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know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it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wasn’t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still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have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little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faith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in a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criminal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justice system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that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routinely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disregards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the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testimony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of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victims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>.</w:t>
      </w:r>
    </w:p>
    <w:p w14:paraId="7B90CC99" w14:textId="77777777" w:rsidR="0075147D" w:rsidRPr="00B573C6" w:rsidRDefault="0075147D" w:rsidP="0075147D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2"/>
          <w:szCs w:val="22"/>
        </w:rPr>
      </w:pPr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If a more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balanced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legal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approach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to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sexual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assault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is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going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to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become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the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norm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instead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of the exception,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then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, for a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start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, the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law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needs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to change. State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statutes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of limitations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need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to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be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extended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hyperlink r:id="rId10" w:history="1">
        <w:r w:rsidRPr="00B573C6">
          <w:rPr>
            <w:rFonts w:ascii="Helvetica" w:hAnsi="Helvetica" w:cs="Helvetica"/>
            <w:color w:val="000000" w:themeColor="text1"/>
            <w:sz w:val="22"/>
            <w:szCs w:val="22"/>
          </w:rPr>
          <w:t xml:space="preserve">or </w:t>
        </w:r>
        <w:proofErr w:type="spellStart"/>
        <w:r w:rsidRPr="00B573C6">
          <w:rPr>
            <w:rFonts w:ascii="Helvetica" w:hAnsi="Helvetica" w:cs="Helvetica"/>
            <w:color w:val="000000" w:themeColor="text1"/>
            <w:sz w:val="22"/>
            <w:szCs w:val="22"/>
          </w:rPr>
          <w:t>eliminated</w:t>
        </w:r>
        <w:proofErr w:type="spellEnd"/>
      </w:hyperlink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to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give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victims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the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opportunity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to come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forward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even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years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after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a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traumatic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assault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>. (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Now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, </w:t>
      </w:r>
      <w:hyperlink r:id="rId11" w:history="1">
        <w:r w:rsidRPr="00B573C6">
          <w:rPr>
            <w:rFonts w:ascii="Helvetica" w:hAnsi="Helvetica" w:cs="Helvetica"/>
            <w:color w:val="000000" w:themeColor="text1"/>
            <w:sz w:val="22"/>
            <w:szCs w:val="22"/>
          </w:rPr>
          <w:t xml:space="preserve">in </w:t>
        </w:r>
        <w:proofErr w:type="spellStart"/>
        <w:r w:rsidRPr="00B573C6">
          <w:rPr>
            <w:rFonts w:ascii="Helvetica" w:hAnsi="Helvetica" w:cs="Helvetica"/>
            <w:color w:val="000000" w:themeColor="text1"/>
            <w:sz w:val="22"/>
            <w:szCs w:val="22"/>
          </w:rPr>
          <w:t>some</w:t>
        </w:r>
        <w:proofErr w:type="spellEnd"/>
        <w:r w:rsidRPr="00B573C6">
          <w:rPr>
            <w:rFonts w:ascii="Helvetica" w:hAnsi="Helvetica" w:cs="Helvetica"/>
            <w:color w:val="000000" w:themeColor="text1"/>
            <w:sz w:val="22"/>
            <w:szCs w:val="22"/>
          </w:rPr>
          <w:t xml:space="preserve"> states</w:t>
        </w:r>
      </w:hyperlink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, the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statute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of limitations for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felony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sex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crimes expires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after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10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years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or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less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>.)</w:t>
      </w:r>
    </w:p>
    <w:p w14:paraId="7D05FB18" w14:textId="77777777" w:rsidR="0075147D" w:rsidRPr="00B573C6" w:rsidRDefault="0075147D" w:rsidP="0075147D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 w:themeColor="text1"/>
          <w:sz w:val="22"/>
          <w:szCs w:val="22"/>
        </w:rPr>
      </w:pPr>
    </w:p>
    <w:p w14:paraId="697ECF1D" w14:textId="77777777" w:rsidR="009D36CF" w:rsidRPr="00B573C6" w:rsidRDefault="0075147D" w:rsidP="009D36CF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center"/>
        <w:rPr>
          <w:rFonts w:ascii="Helvetica" w:hAnsi="Helvetica" w:cs="Helvetica"/>
          <w:b/>
          <w:bCs/>
          <w:color w:val="000000" w:themeColor="text1"/>
          <w:sz w:val="22"/>
          <w:szCs w:val="22"/>
        </w:rPr>
      </w:pPr>
      <w:r w:rsidRPr="00B573C6">
        <w:rPr>
          <w:rFonts w:ascii="Helvetica" w:hAnsi="Helvetica" w:cs="Helvetica"/>
          <w:b/>
          <w:bCs/>
          <w:color w:val="000000" w:themeColor="text1"/>
          <w:kern w:val="1"/>
          <w:sz w:val="22"/>
          <w:szCs w:val="22"/>
        </w:rPr>
        <w:tab/>
      </w:r>
      <w:r w:rsidRPr="00B573C6">
        <w:rPr>
          <w:rFonts w:ascii="Helvetica" w:hAnsi="Helvetica" w:cs="Helvetica"/>
          <w:b/>
          <w:bCs/>
          <w:color w:val="000000" w:themeColor="text1"/>
          <w:kern w:val="1"/>
          <w:sz w:val="22"/>
          <w:szCs w:val="22"/>
        </w:rPr>
        <w:tab/>
      </w:r>
    </w:p>
    <w:p w14:paraId="74400090" w14:textId="77777777" w:rsidR="0075147D" w:rsidRPr="00B573C6" w:rsidRDefault="0075147D" w:rsidP="0075147D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2"/>
          <w:szCs w:val="22"/>
        </w:rPr>
      </w:pP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Enforcement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needs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to change as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well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. Law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enforcement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authorities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need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to let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women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know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that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they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will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be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listened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to, and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that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their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cases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will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be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prosecuted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quickly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and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thoroughly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.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Victims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need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to have confidence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that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their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attacker’s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DNA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won’t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be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stashed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away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for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decades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in a file cabinet.</w:t>
      </w:r>
    </w:p>
    <w:p w14:paraId="56628DFF" w14:textId="77777777" w:rsidR="0075147D" w:rsidRPr="00B573C6" w:rsidRDefault="0075147D" w:rsidP="0075147D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2"/>
          <w:szCs w:val="22"/>
        </w:rPr>
      </w:pPr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Mr.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Weinstein’s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lead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lawyer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said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her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client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was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simply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“a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target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of a cause and of a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movement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.”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That’s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correct — if the cause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is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holding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sexual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abusers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to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account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, and the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movement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is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the national shift in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consciousness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over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these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crimes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that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arose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in large part out of the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revelation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of Mr.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Weinstein’s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behavior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. So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his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conviction,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too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, stands for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something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larger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>:</w:t>
      </w:r>
      <w:proofErr w:type="gram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that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some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measure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of justice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can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be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attained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, and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with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it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the balance of power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between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sexual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predators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and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their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victims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can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</w:t>
      </w:r>
      <w:proofErr w:type="spellStart"/>
      <w:r w:rsidRPr="00B573C6">
        <w:rPr>
          <w:rFonts w:ascii="Helvetica" w:hAnsi="Helvetica" w:cs="Helvetica"/>
          <w:color w:val="000000" w:themeColor="text1"/>
          <w:sz w:val="22"/>
          <w:szCs w:val="22"/>
        </w:rPr>
        <w:t>begin</w:t>
      </w:r>
      <w:proofErr w:type="spellEnd"/>
      <w:r w:rsidRPr="00B573C6">
        <w:rPr>
          <w:rFonts w:ascii="Helvetica" w:hAnsi="Helvetica" w:cs="Helvetica"/>
          <w:color w:val="000000" w:themeColor="text1"/>
          <w:sz w:val="22"/>
          <w:szCs w:val="22"/>
        </w:rPr>
        <w:t xml:space="preserve"> to shift.</w:t>
      </w:r>
    </w:p>
    <w:p w14:paraId="1DEE48E1" w14:textId="77777777" w:rsidR="00895EBA" w:rsidRPr="00B573C6" w:rsidRDefault="00895EBA">
      <w:pPr>
        <w:rPr>
          <w:rFonts w:ascii="Helvetica" w:hAnsi="Helvetica"/>
          <w:color w:val="000000" w:themeColor="text1"/>
          <w:sz w:val="22"/>
          <w:szCs w:val="22"/>
        </w:rPr>
      </w:pPr>
    </w:p>
    <w:sectPr w:rsidR="00895EBA" w:rsidRPr="00B573C6" w:rsidSect="0013588B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00000002">
      <w:start w:val="1"/>
      <w:numFmt w:val="bullet"/>
      <w:lvlText w:val="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47D"/>
    <w:rsid w:val="004B4E97"/>
    <w:rsid w:val="005A455C"/>
    <w:rsid w:val="0075147D"/>
    <w:rsid w:val="007908DC"/>
    <w:rsid w:val="007B7967"/>
    <w:rsid w:val="00894994"/>
    <w:rsid w:val="00895EBA"/>
    <w:rsid w:val="009D36CF"/>
    <w:rsid w:val="00B573C6"/>
    <w:rsid w:val="00C5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BCCB0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75147D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5147D"/>
    <w:rPr>
      <w:rFonts w:ascii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balancedheadline">
    <w:name w:val="balancedheadline"/>
    <w:basedOn w:val="Policepardfaut"/>
    <w:rsid w:val="00751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5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rainn.org/state-state-guide-statutes-limitations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nytimes.com/interactive/opinion/editorialboard.html" TargetMode="External"/><Relationship Id="rId6" Type="http://schemas.openxmlformats.org/officeDocument/2006/relationships/hyperlink" Target="https://www.nytimes.com/2020/02/24/nyregion/harvey-weinstein-trial-rape-verdict.html" TargetMode="External"/><Relationship Id="rId7" Type="http://schemas.openxmlformats.org/officeDocument/2006/relationships/hyperlink" Target="https://www.nytimes.com/2020/02/24/nyregion/harvey-weinstein-trial-rape-verdict.html" TargetMode="External"/><Relationship Id="rId8" Type="http://schemas.openxmlformats.org/officeDocument/2006/relationships/hyperlink" Target="https://www.nytimes.com/2017/10/14/opinion/cyrus-vance-campaign-donations.html" TargetMode="External"/><Relationship Id="rId9" Type="http://schemas.openxmlformats.org/officeDocument/2006/relationships/hyperlink" Target="https://www.rainn.org/statistics/criminal-justice-system" TargetMode="External"/><Relationship Id="rId10" Type="http://schemas.openxmlformats.org/officeDocument/2006/relationships/hyperlink" Target="https://www.nytimes.com/2016/01/01/opinion/no-more-statutes-of-limitations-for-rape.html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607</Words>
  <Characters>3339</Characters>
  <Application>Microsoft Macintosh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The Lessons of #MeToo’s Monster</vt:lpstr>
    </vt:vector>
  </TitlesOfParts>
  <LinksUpToDate>false</LinksUpToDate>
  <CharactersWithSpaces>3939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2</cp:revision>
  <dcterms:created xsi:type="dcterms:W3CDTF">2020-02-27T15:31:00Z</dcterms:created>
  <dcterms:modified xsi:type="dcterms:W3CDTF">2020-02-27T15:31:00Z</dcterms:modified>
</cp:coreProperties>
</file>